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1E5FE1" w14:textId="58EC3F6E" w:rsidR="00AF387D" w:rsidRPr="00AF387D" w:rsidRDefault="00AF387D" w:rsidP="00AF3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MILSDeM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>: Guiding immersive learning system development</w:t>
      </w:r>
      <w:r w:rsidRPr="00AF387D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hyperlink r:id="rId5" w:tgtFrame="_new" w:history="1">
        <w:r w:rsidRPr="00AF38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https://link.springer.com/article/10.1007/s10639-024-12479-4</w:t>
        </w:r>
      </w:hyperlink>
      <w:r w:rsidRPr="00AF387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2024</w:t>
      </w:r>
    </w:p>
    <w:p w14:paraId="2750E05B" w14:textId="77777777" w:rsidR="00AF387D" w:rsidRPr="00AF387D" w:rsidRDefault="00AF387D" w:rsidP="00AF3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87D">
        <w:rPr>
          <w:rFonts w:ascii="Times New Roman" w:eastAsia="Times New Roman" w:hAnsi="Times New Roman" w:cs="Times New Roman"/>
          <w:sz w:val="24"/>
          <w:szCs w:val="24"/>
        </w:rPr>
        <w:pict w14:anchorId="5C7006B5">
          <v:rect id="_x0000_i1025" style="width:0;height:1.5pt" o:hralign="center" o:hrstd="t" o:hr="t" fillcolor="#a0a0a0" stroked="f"/>
        </w:pict>
      </w:r>
    </w:p>
    <w:p w14:paraId="64BBBD93" w14:textId="77777777" w:rsidR="00AF387D" w:rsidRPr="00AF387D" w:rsidRDefault="00AF387D" w:rsidP="00AF3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>Tóm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>tắt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>nội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dung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>báo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(Summary)</w:t>
      </w:r>
    </w:p>
    <w:p w14:paraId="1164AB4A" w14:textId="77777777" w:rsidR="00AF387D" w:rsidRPr="00AF387D" w:rsidRDefault="00AF387D" w:rsidP="00AF3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MILSDeM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(immersive learning systems).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(VR),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(AR)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hấp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0BE529" w14:textId="77777777" w:rsidR="00AF387D" w:rsidRPr="00AF387D" w:rsidRDefault="00AF387D" w:rsidP="00AF3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MILSDeM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ra,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(interactivity),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(immersion),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(learning effectiveness).</w:t>
      </w:r>
    </w:p>
    <w:p w14:paraId="09634757" w14:textId="77777777" w:rsidR="00AF387D" w:rsidRPr="00AF387D" w:rsidRDefault="00AF387D" w:rsidP="00AF3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87D">
        <w:rPr>
          <w:rFonts w:ascii="Times New Roman" w:eastAsia="Times New Roman" w:hAnsi="Times New Roman" w:cs="Times New Roman"/>
          <w:sz w:val="24"/>
          <w:szCs w:val="24"/>
        </w:rPr>
        <w:pict w14:anchorId="50BE2725">
          <v:rect id="_x0000_i1026" style="width:0;height:1.5pt" o:hralign="center" o:hrstd="t" o:hr="t" fillcolor="#a0a0a0" stroked="f"/>
        </w:pict>
      </w:r>
    </w:p>
    <w:p w14:paraId="40B4883B" w14:textId="77777777" w:rsidR="00AF387D" w:rsidRPr="00AF387D" w:rsidRDefault="00AF387D" w:rsidP="00AF3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>Nhận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>định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(Critical Review)</w:t>
      </w:r>
    </w:p>
    <w:p w14:paraId="68DB1F0A" w14:textId="77777777" w:rsidR="00AF387D" w:rsidRPr="00AF387D" w:rsidRDefault="00AF387D" w:rsidP="00AF3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942BA25" w14:textId="77777777" w:rsidR="00AF387D" w:rsidRPr="00AF387D" w:rsidRDefault="00AF387D" w:rsidP="00AF3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framework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EBEC6A" w14:textId="77777777" w:rsidR="00AF387D" w:rsidRPr="00AF387D" w:rsidRDefault="00AF387D" w:rsidP="00AF3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(UX)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immersion </w:t>
      </w:r>
    </w:p>
    <w:p w14:paraId="28D98995" w14:textId="77777777" w:rsidR="00AF387D" w:rsidRPr="00AF387D" w:rsidRDefault="00AF387D" w:rsidP="00AF3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(VR/AR, metaverse learning) </w:t>
      </w:r>
    </w:p>
    <w:p w14:paraId="3C7FE242" w14:textId="77777777" w:rsidR="00AF387D" w:rsidRPr="00AF387D" w:rsidRDefault="00AF387D" w:rsidP="00AF3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117E29C" w14:textId="77777777" w:rsidR="00AF387D" w:rsidRPr="00AF387D" w:rsidRDefault="00AF387D" w:rsidP="00AF3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5D2BF9" w14:textId="77777777" w:rsidR="00AF387D" w:rsidRPr="00AF387D" w:rsidRDefault="00AF387D" w:rsidP="00AF3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6CDD39" w14:textId="77777777" w:rsidR="00AF387D" w:rsidRPr="00AF387D" w:rsidRDefault="00AF387D" w:rsidP="00AF3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87D">
        <w:rPr>
          <w:rFonts w:ascii="Times New Roman" w:eastAsia="Times New Roman" w:hAnsi="Times New Roman" w:cs="Times New Roman"/>
          <w:sz w:val="24"/>
          <w:szCs w:val="24"/>
        </w:rPr>
        <w:pict w14:anchorId="29F084AB">
          <v:rect id="_x0000_i1027" style="width:0;height:1.5pt" o:hralign="center" o:hrstd="t" o:hr="t" fillcolor="#a0a0a0" stroked="f"/>
        </w:pict>
      </w:r>
    </w:p>
    <w:p w14:paraId="546FD7E1" w14:textId="77777777" w:rsidR="00AF387D" w:rsidRPr="00AF387D" w:rsidRDefault="00AF387D" w:rsidP="00AF3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>Khả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>áp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>vào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>Acadex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</w:p>
    <w:p w14:paraId="61B9BC76" w14:textId="77777777" w:rsidR="00AF387D" w:rsidRPr="00AF387D" w:rsidRDefault="00AF387D" w:rsidP="00AF3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trải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(Learning Experience Design):</w:t>
      </w:r>
      <w:r w:rsidRPr="00AF387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Acadex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“immersive learning”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khô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khan. </w:t>
      </w:r>
    </w:p>
    <w:p w14:paraId="2D7FE006" w14:textId="77777777" w:rsidR="00AF387D" w:rsidRPr="00AF387D" w:rsidRDefault="00AF387D" w:rsidP="00AF3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Cải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thiện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UI/UX:</w:t>
      </w:r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C201E6" w14:textId="77777777" w:rsidR="00AF387D" w:rsidRPr="00AF387D" w:rsidRDefault="00AF387D" w:rsidP="00AF3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animation (Framer Motion) </w:t>
      </w:r>
    </w:p>
    <w:p w14:paraId="36CFA57A" w14:textId="77777777" w:rsidR="00AF387D" w:rsidRPr="00AF387D" w:rsidRDefault="00AF387D" w:rsidP="00AF3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0C19C0" w14:textId="77777777" w:rsidR="00AF387D" w:rsidRPr="00AF387D" w:rsidRDefault="00AF387D" w:rsidP="00AF3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“flow”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44D231" w14:textId="77777777" w:rsidR="00AF387D" w:rsidRPr="00AF387D" w:rsidRDefault="00AF387D" w:rsidP="00AF3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Định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lai</w:t>
      </w:r>
      <w:proofErr w:type="spellEnd"/>
      <w:r w:rsidRPr="00AF38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404372" w14:textId="77777777" w:rsidR="00AF387D" w:rsidRPr="00AF387D" w:rsidRDefault="00AF387D" w:rsidP="00AF3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video interactive </w:t>
      </w:r>
    </w:p>
    <w:p w14:paraId="5168353E" w14:textId="77777777" w:rsidR="00AF387D" w:rsidRPr="00AF387D" w:rsidRDefault="00AF387D" w:rsidP="00AF3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87D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AF387D">
        <w:rPr>
          <w:rFonts w:ascii="Times New Roman" w:eastAsia="Times New Roman" w:hAnsi="Times New Roman" w:cs="Times New Roman"/>
          <w:sz w:val="24"/>
          <w:szCs w:val="24"/>
        </w:rPr>
        <w:t xml:space="preserve"> simulation </w:t>
      </w:r>
    </w:p>
    <w:p w14:paraId="25CF7AA5" w14:textId="77777777" w:rsidR="00AF387D" w:rsidRPr="00AF387D" w:rsidRDefault="00AF387D" w:rsidP="00AF3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87D">
        <w:rPr>
          <w:rFonts w:ascii="Times New Roman" w:eastAsia="Times New Roman" w:hAnsi="Times New Roman" w:cs="Times New Roman"/>
          <w:sz w:val="24"/>
          <w:szCs w:val="24"/>
        </w:rPr>
        <w:t>Gamification (badge, level, leaderboard)</w:t>
      </w:r>
    </w:p>
    <w:p w14:paraId="53A4A6F7" w14:textId="77777777" w:rsidR="00D030A1" w:rsidRDefault="00D030A1"/>
    <w:sectPr w:rsidR="00D03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156D6"/>
    <w:multiLevelType w:val="multilevel"/>
    <w:tmpl w:val="3886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B7B7F"/>
    <w:multiLevelType w:val="multilevel"/>
    <w:tmpl w:val="1EA4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17D2C"/>
    <w:multiLevelType w:val="multilevel"/>
    <w:tmpl w:val="B86A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87D"/>
    <w:rsid w:val="00AF387D"/>
    <w:rsid w:val="00D0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B52BE"/>
  <w15:chartTrackingRefBased/>
  <w15:docId w15:val="{6FAB8855-BC90-4C4F-AA76-F65067FD1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38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387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F3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387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F38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9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.springer.com/article/10.1007/s10639-024-12479-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</dc:creator>
  <cp:keywords/>
  <dc:description/>
  <cp:lastModifiedBy>Nguyen Quoc</cp:lastModifiedBy>
  <cp:revision>1</cp:revision>
  <dcterms:created xsi:type="dcterms:W3CDTF">2026-06-02T12:52:00Z</dcterms:created>
  <dcterms:modified xsi:type="dcterms:W3CDTF">2026-06-02T12:53:00Z</dcterms:modified>
</cp:coreProperties>
</file>