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6"/>
          <w:szCs w:val="36"/>
        </w:rPr>
      </w:pPr>
      <w:bookmarkStart w:colFirst="0" w:colLast="0" w:name="_2yz4f5v5i1p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CVerify: An Evidence-Anchored, AI-Assisted Pipeline for Developer Source-Code Verification and Trust Scoring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PT Serif" w:cs="PT Serif" w:eastAsia="PT Serif" w:hAnsi="PT Serif"/>
          <w:i w:val="1"/>
          <w:iCs w:val="1"/>
        </w:rPr>
      </w:pP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Long Nhat Tran, The Luc Doan, Anh Nguyen Hoang Ngoc</w:t>
      </w:r>
    </w:p>
    <w:p w:rsidR="00000000" w:rsidDel="00000000" w:rsidP="00000000" w:rsidRDefault="00000000" w:rsidRPr="00000000" w14:paraId="00000006">
      <w:pPr>
        <w:spacing w:after="200" w:lineRule="auto"/>
        <w:jc w:val="center"/>
        <w:rPr>
          <w:rFonts w:ascii="PT Serif" w:cs="PT Serif" w:eastAsia="PT Serif" w:hAnsi="PT Serif"/>
          <w:i w:val="1"/>
          <w:iCs w:val="1"/>
        </w:rPr>
      </w:pP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Hieu Truong Van, An Nguyen La Hoa</w:t>
      </w:r>
    </w:p>
    <w:p w:rsidR="00000000" w:rsidDel="00000000" w:rsidP="00000000" w:rsidRDefault="00000000" w:rsidRPr="00000000" w14:paraId="00000007">
      <w:pPr>
        <w:spacing w:after="200" w:lineRule="auto"/>
        <w:jc w:val="center"/>
        <w:rPr>
          <w:rFonts w:ascii="PT Serif" w:cs="PT Serif" w:eastAsia="PT Serif" w:hAnsi="PT Serif"/>
          <w:i w:val="1"/>
          <w:iCs w:val="1"/>
        </w:rPr>
      </w:pP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FPT University, Vietnam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rFonts w:ascii="PT Serif" w:cs="PT Serif" w:eastAsia="PT Serif" w:hAnsi="PT Serif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</w:p>
    <w:sdt>
      <w:sdtPr>
        <w:id w:val="-8403281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1ks3h925h8h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Abstract</w:t>
              <w:tab/>
            </w:r>
          </w:hyperlink>
          <w:r w:rsidDel="00000000" w:rsidR="00000000" w:rsidRPr="00000000">
            <w:fldChar w:fldCharType="begin"/>
            <w:instrText xml:space="preserve"> PAGEREF _s1ks3h925h8h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rvttqi81enpa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Introduction</w:t>
              <w:tab/>
            </w:r>
          </w:hyperlink>
          <w:r w:rsidDel="00000000" w:rsidR="00000000" w:rsidRPr="00000000">
            <w:fldChar w:fldCharType="begin"/>
            <w:instrText xml:space="preserve"> PAGEREF _rvttqi81enpa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agk77ogku1db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Related Work</w:t>
              <w:tab/>
            </w:r>
          </w:hyperlink>
          <w:r w:rsidDel="00000000" w:rsidR="00000000" w:rsidRPr="00000000">
            <w:fldChar w:fldCharType="begin"/>
            <w:instrText xml:space="preserve"> PAGEREF _agk77ogku1db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wab4g5zg4h5i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Repository mining and developer expertise</w:t>
              <w:tab/>
            </w:r>
          </w:hyperlink>
          <w:r w:rsidDel="00000000" w:rsidR="00000000" w:rsidRPr="00000000">
            <w:fldChar w:fldCharType="begin"/>
            <w:instrText xml:space="preserve"> PAGEREF _wab4g5zg4h5i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pbrj35mmrnvz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Code clone and duplication detection</w:t>
              <w:tab/>
            </w:r>
          </w:hyperlink>
          <w:r w:rsidDel="00000000" w:rsidR="00000000" w:rsidRPr="00000000">
            <w:fldChar w:fldCharType="begin"/>
            <w:instrText xml:space="preserve"> PAGEREF _pbrj35mmrnvz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9sta236ltv0a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Machine learning and LLMs for code</w:t>
              <w:tab/>
            </w:r>
          </w:hyperlink>
          <w:r w:rsidDel="00000000" w:rsidR="00000000" w:rsidRPr="00000000">
            <w:fldChar w:fldCharType="begin"/>
            <w:instrText xml:space="preserve"> PAGEREF _9sta236ltv0a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tzstg032yi3m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Research gap</w:t>
              <w:tab/>
            </w:r>
          </w:hyperlink>
          <w:r w:rsidDel="00000000" w:rsidR="00000000" w:rsidRPr="00000000">
            <w:fldChar w:fldCharType="begin"/>
            <w:instrText xml:space="preserve"> PAGEREF _tzstg032yi3m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y7t8a1pje145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System Architecture</w:t>
              <w:tab/>
            </w:r>
          </w:hyperlink>
          <w:r w:rsidDel="00000000" w:rsidR="00000000" w:rsidRPr="00000000">
            <w:fldChar w:fldCharType="begin"/>
            <w:instrText xml:space="preserve"> PAGEREF _y7t8a1pje145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3gfkfh1zc0os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Orchestration and state.</w:t>
              <w:tab/>
            </w:r>
          </w:hyperlink>
          <w:r w:rsidDel="00000000" w:rsidR="00000000" w:rsidRPr="00000000">
            <w:fldChar w:fldCharType="begin"/>
            <w:instrText xml:space="preserve"> PAGEREF _3gfkfh1zc0os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qdhvv6ju14sy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Cross-runtime boundary and resilience.</w:t>
              <w:tab/>
            </w:r>
          </w:hyperlink>
          <w:r w:rsidDel="00000000" w:rsidR="00000000" w:rsidRPr="00000000">
            <w:fldChar w:fldCharType="begin"/>
            <w:instrText xml:space="preserve"> PAGEREF _qdhvv6ju14sy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ujel5dsr47op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Persistence and projection.</w:t>
              <w:tab/>
            </w:r>
          </w:hyperlink>
          <w:r w:rsidDel="00000000" w:rsidR="00000000" w:rsidRPr="00000000">
            <w:fldChar w:fldCharType="begin"/>
            <w:instrText xml:space="preserve"> PAGEREF _ujel5dsr47op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o9flq25135qe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Repository-Intelligence Pipeline</w:t>
              <w:tab/>
            </w:r>
          </w:hyperlink>
          <w:r w:rsidDel="00000000" w:rsidR="00000000" w:rsidRPr="00000000">
            <w:fldChar w:fldCharType="begin"/>
            <w:instrText xml:space="preserve"> PAGEREF _o9flq25135qe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hgo83pwbks97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Compile-time validation.</w:t>
              <w:tab/>
            </w:r>
          </w:hyperlink>
          <w:r w:rsidDel="00000000" w:rsidR="00000000" w:rsidRPr="00000000">
            <w:fldChar w:fldCharType="begin"/>
            <w:instrText xml:space="preserve"> PAGEREF _hgo83pwbks97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ll29732fmvwd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Ingestion bounds and sampling.</w:t>
              <w:tab/>
            </w:r>
          </w:hyperlink>
          <w:r w:rsidDel="00000000" w:rsidR="00000000" w:rsidRPr="00000000">
            <w:fldChar w:fldCharType="begin"/>
            <w:instrText xml:space="preserve"> PAGEREF _ll29732fmvwd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ghk1kupz7184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Anti-fraud signals.</w:t>
              <w:tab/>
            </w:r>
          </w:hyperlink>
          <w:r w:rsidDel="00000000" w:rsidR="00000000" w:rsidRPr="00000000">
            <w:fldChar w:fldCharType="begin"/>
            <w:instrText xml:space="preserve"> PAGEREF _ghk1kupz7184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x48mobvdj9m3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Competency Scoring Model</w:t>
              <w:tab/>
            </w:r>
          </w:hyperlink>
          <w:r w:rsidDel="00000000" w:rsidR="00000000" w:rsidRPr="00000000">
            <w:fldChar w:fldCharType="begin"/>
            <w:instrText xml:space="preserve"> PAGEREF _x48mobvdj9m3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5gj4qnmsur1z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Dimension compression.</w:t>
              <w:tab/>
            </w:r>
          </w:hyperlink>
          <w:r w:rsidDel="00000000" w:rsidR="00000000" w:rsidRPr="00000000">
            <w:fldChar w:fldCharType="begin"/>
            <w:instrText xml:space="preserve"> PAGEREF _5gj4qnmsur1z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yc0mrffqhqit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Dual track: verified vs. self-declared.</w:t>
              <w:tab/>
            </w:r>
          </w:hyperlink>
          <w:r w:rsidDel="00000000" w:rsidR="00000000" w:rsidRPr="00000000">
            <w:fldChar w:fldCharType="begin"/>
            <w:instrText xml:space="preserve"> PAGEREF _yc0mrffqhqit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iea2zvvgzpfj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Evidence-favouring aggregation.</w:t>
              <w:tab/>
            </w:r>
          </w:hyperlink>
          <w:r w:rsidDel="00000000" w:rsidR="00000000" w:rsidRPr="00000000">
            <w:fldChar w:fldCharType="begin"/>
            <w:instrText xml:space="preserve"> PAGEREF _iea2zvvgzpfj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a3hs14w9ug8q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Cohort normalisation and uncertainty.</w:t>
              <w:tab/>
            </w:r>
          </w:hyperlink>
          <w:r w:rsidDel="00000000" w:rsidR="00000000" w:rsidRPr="00000000">
            <w:fldChar w:fldCharType="begin"/>
            <w:instrText xml:space="preserve"> PAGEREF _a3hs14w9ug8q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iuwxjr4tu5jq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Trust Scoring and Candidate–Job Matching</w:t>
              <w:tab/>
            </w:r>
          </w:hyperlink>
          <w:r w:rsidDel="00000000" w:rsidR="00000000" w:rsidRPr="00000000">
            <w:fldChar w:fldCharType="begin"/>
            <w:instrText xml:space="preserve"> PAGEREF _iuwxjr4tu5jq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ct9o00aw2dtp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Candidate ranking.</w:t>
              <w:tab/>
            </w:r>
          </w:hyperlink>
          <w:r w:rsidDel="00000000" w:rsidR="00000000" w:rsidRPr="00000000">
            <w:fldChar w:fldCharType="begin"/>
            <w:instrText xml:space="preserve"> PAGEREF _ct9o00aw2dtp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2jkedha0lwox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Unified candidate–job matching.</w:t>
              <w:tab/>
            </w:r>
          </w:hyperlink>
          <w:r w:rsidDel="00000000" w:rsidR="00000000" w:rsidRPr="00000000">
            <w:fldChar w:fldCharType="begin"/>
            <w:instrText xml:space="preserve"> PAGEREF _2jkedha0lwox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dxd9ap95c8k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Evaluation</w:t>
              <w:tab/>
            </w:r>
          </w:hyperlink>
          <w:r w:rsidDel="00000000" w:rsidR="00000000" w:rsidRPr="00000000">
            <w:fldChar w:fldCharType="begin"/>
            <w:instrText xml:space="preserve"> PAGEREF _dxd9ap95c8k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hgp746o1ur34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Functional verification.</w:t>
              <w:tab/>
            </w:r>
          </w:hyperlink>
          <w:r w:rsidDel="00000000" w:rsidR="00000000" w:rsidRPr="00000000">
            <w:fldChar w:fldCharType="begin"/>
            <w:instrText xml:space="preserve"> PAGEREF _hgp746o1ur34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aox0qig2ktsq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Reported test outcomes.</w:t>
              <w:tab/>
            </w:r>
          </w:hyperlink>
          <w:r w:rsidDel="00000000" w:rsidR="00000000" w:rsidRPr="00000000">
            <w:fldChar w:fldCharType="begin"/>
            <w:instrText xml:space="preserve"> PAGEREF _aox0qig2ktsq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g7rr9s5twza6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Operational characteristics.</w:t>
              <w:tab/>
            </w:r>
          </w:hyperlink>
          <w:r w:rsidDel="00000000" w:rsidR="00000000" w:rsidRPr="00000000">
            <w:fldChar w:fldCharType="begin"/>
            <w:instrText xml:space="preserve"> PAGEREF _g7rr9s5twza6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PT Serif" w:cs="PT Serif" w:eastAsia="PT Serif" w:hAnsi="PT Serif"/>
              <w:b w:val="1"/>
              <w:bCs w:val="1"/>
              <w:color w:val="000000"/>
              <w:u w:val="none"/>
            </w:rPr>
          </w:pPr>
          <w:hyperlink w:anchor="_i8qoy35wuzxk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Discussion and Threats to Validity</w:t>
              <w:tab/>
            </w:r>
          </w:hyperlink>
          <w:r w:rsidDel="00000000" w:rsidR="00000000" w:rsidRPr="00000000">
            <w:fldChar w:fldCharType="begin"/>
            <w:instrText xml:space="preserve"> PAGEREF _i8qoy35wuzxk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4sy3r1ok0qmi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Construct validity.</w:t>
              <w:tab/>
            </w:r>
          </w:hyperlink>
          <w:r w:rsidDel="00000000" w:rsidR="00000000" w:rsidRPr="00000000">
            <w:fldChar w:fldCharType="begin"/>
            <w:instrText xml:space="preserve"> PAGEREF _4sy3r1ok0qmi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ldwnhxkk7nhm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Internal validity.</w:t>
              <w:tab/>
            </w:r>
          </w:hyperlink>
          <w:r w:rsidDel="00000000" w:rsidR="00000000" w:rsidRPr="00000000">
            <w:fldChar w:fldCharType="begin"/>
            <w:instrText xml:space="preserve"> PAGEREF _ldwnhxkk7nhm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8lgzpdgti319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External validity.</w:t>
              <w:tab/>
            </w:r>
          </w:hyperlink>
          <w:r w:rsidDel="00000000" w:rsidR="00000000" w:rsidRPr="00000000">
            <w:fldChar w:fldCharType="begin"/>
            <w:instrText xml:space="preserve"> PAGEREF _8lgzpdgti319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rFonts w:ascii="PT Serif" w:cs="PT Serif" w:eastAsia="PT Serif" w:hAnsi="PT Serif"/>
              <w:color w:val="000000"/>
              <w:u w:val="none"/>
            </w:rPr>
          </w:pPr>
          <w:hyperlink w:anchor="_y04ajd2t5f45">
            <w:r w:rsidDel="00000000" w:rsidR="00000000" w:rsidRPr="00000000">
              <w:rPr>
                <w:rFonts w:ascii="PT Serif" w:cs="PT Serif" w:eastAsia="PT Serif" w:hAnsi="PT Serif"/>
                <w:color w:val="000000"/>
                <w:u w:val="none"/>
                <w:rtl w:val="0"/>
              </w:rPr>
              <w:t xml:space="preserve">Evaluation validity.</w:t>
              <w:tab/>
            </w:r>
          </w:hyperlink>
          <w:r w:rsidDel="00000000" w:rsidR="00000000" w:rsidRPr="00000000">
            <w:fldChar w:fldCharType="begin"/>
            <w:instrText xml:space="preserve"> PAGEREF _y04ajd2t5f45 \h </w:instrText>
            <w:fldChar w:fldCharType="separate"/>
          </w:r>
          <w:r w:rsidDel="00000000" w:rsidR="00000000" w:rsidRPr="00000000">
            <w:rPr>
              <w:rFonts w:ascii="PT Serif" w:cs="PT Serif" w:eastAsia="PT Serif" w:hAnsi="PT Serif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y9iewqkyhy9">
            <w:r w:rsidDel="00000000" w:rsidR="00000000" w:rsidRPr="00000000">
              <w:rPr>
                <w:rFonts w:ascii="PT Serif" w:cs="PT Serif" w:eastAsia="PT Serif" w:hAnsi="PT Serif"/>
                <w:b w:val="1"/>
                <w:bCs w:val="1"/>
                <w:color w:val="000000"/>
                <w:u w:val="none"/>
                <w:rtl w:val="0"/>
              </w:rPr>
              <w:t xml:space="preserve">Conclusion and Future Work</w:t>
            </w:r>
          </w:hyperlink>
          <w:hyperlink w:anchor="_ry9iewqkyhy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_ry9iewqkyhy9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spacing w:before="300" w:lineRule="auto"/>
        <w:rPr>
          <w:rFonts w:ascii="PT Serif" w:cs="PT Serif" w:eastAsia="PT Serif" w:hAnsi="PT Serif"/>
          <w:b w:val="1"/>
          <w:bCs w:val="1"/>
        </w:rPr>
      </w:pPr>
      <w:bookmarkStart w:colFirst="0" w:colLast="0" w:name="_iaqye0usn44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300" w:lineRule="auto"/>
        <w:rPr>
          <w:rFonts w:ascii="PT Serif" w:cs="PT Serif" w:eastAsia="PT Serif" w:hAnsi="PT Serif"/>
          <w:b w:val="1"/>
          <w:bCs w:val="1"/>
        </w:rPr>
      </w:pPr>
      <w:bookmarkStart w:colFirst="0" w:colLast="0" w:name="_s1ks3h925h8h" w:id="2"/>
      <w:bookmarkEnd w:id="2"/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2D">
      <w:pPr>
        <w:spacing w:after="300" w:before="1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Screening software-engineering candidates increasingly relies on self-declared resumes and unverified portfolio claims, which are difficult to audit and easy to inflate. We present CVerify, an AI-assisted platform that verifies developer competencies directly from source-code evidence rather than from self-reported text. CVerify ingests candidate Git repositories and runs a configuration-driven, twenty-two-stage directed-acyclic-graph (DAG) pipeline that combines deterministic static analysis—Git history mining, MinHash Locality-Sensitive-Hashing (LSH) near-duplicate detection, and cyclomatic/cognitive complexity walks—with Large-Language-Model (LLM) reasoning for skill, feature, and architecture extraction. The extracted evidence feeds three transparent scoring models: (i) a dual-track competency score that separates repository-verified signal from self-declared claims using logarithmic dimension compression and evidence-weighted aggregation; (ii) a deterministic trust score derived from ownership, code-quality, clone-risk, and AI-generation signals; and (iii) an evidence-traceable candidate–job matching engine with explicit factor weights. The system is implemented as a resilient two-runtime architecture—an ASP.NET Core orchestrator and a Python AI service—connected by an HMAC-signed boundary, a Redis-backed work queue, and Server-Sent-Events progress streaming. This paper documents the system architecture, the pipeline, and the scoring algorithms exactly as implemented, and reports a functional and architectural evaluation. A controlled empirical accuracy study against ground-truth labels has not yet been conducted and is identified as the primary direction for future work.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2zy12q9lmk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rvttqi81enpa" w:id="4"/>
      <w:bookmarkEnd w:id="4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Technical hiring depends heavily on artifacts that are easy to assert and hard to verify. A resume can list a technology, and a portfolio can link to a repository, but neither establishes that the candidate actually authored the code, owned the difficult parts of it, or produced it without large-scale copying or undisclosed automatic generation. As the volume of publicly available code grows and as LLM code generation becomes routine, the gap between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claimed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and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demonstrated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competency widens. Recruiters are left to reconcile self-declared skills with limited, manual inspection of code they are often not equipped to read.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A substantial body of software-engineering research shows that source-code repositories are a rich, mineable signal of developer behaviour and expertise. Repository mining infrastructure such as GHTorrent [1] made large-scale study of Git activity practical; expertise-modelling work, from the quantitative “expertise browser” of Mockus and Herbsleb [2] to recent skill-space representations [3], demonstrates that authorship and contribution data can be mapped to competency. In parallel, the “naturalness” of software [4] and the broader machine-learning-for-code agenda [5] established that statistical and learned models can reason about code structure, while modern LLMs [6], [7], [8] have made narrative reasoning over code feasible at scale [9]. Yet these strands are rarely combined into a single, auditable pipeline that turns raw repository evidence into a verifiable, explainable competency and trust profile usable in a hiring decision.</w:t>
      </w:r>
    </w:p>
    <w:p w:rsidR="00000000" w:rsidDel="00000000" w:rsidP="00000000" w:rsidRDefault="00000000" w:rsidRPr="00000000" w14:paraId="00000032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This paper presents </w:t>
      </w:r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CVerify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a platform built to close exactly that gap. The guiding design principle is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evidence anchoring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: every score the system surfaces is traceable to a concrete artifact—a file, a commit, a capability detected in the code—and verified signal is kept strictly separate from self-declared signal so that the two are never silently conflated. The contributions of this paper, all derived from and traceable to the implementation, are: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A configuration-driven repository-intelligence pipeline.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 twenty-two-stage DAG (Section 4) interleaves deterministic analysis (Git mining, MinHash LSH clone detection [10], [11], complexity walks) with LLM reasoning stages, and is validated at compile time by topological sorting and schema-compatibility checks.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A dual-track competency scoring model.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 scoring engine (Section 5) computes five competency dimensions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twice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—once from repository-verified evidence and once from self-declared project/experience data—compresses each dimension logarithmically, and aggregates them with an evidence-favouring weighting, a cohort percentile normalisation, and an explicit uncertainty band.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Evidence-traceable trust and matching.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 deterministic trust model and a candidate–job matching engine (Section 6) emit explicit per-factor weights and per-capability evidence traces, so that a recommendation can be explained rather than merely asserted.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PT Serif" w:cs="PT Serif" w:eastAsia="PT Serif" w:hAnsi="PT Serif"/>
          <w:b w:val="1"/>
          <w:bCs w:val="1"/>
          <w:rtl w:val="0"/>
        </w:rPr>
        <w:t xml:space="preserve">A resilient two-runtime architecture.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The system (Section 3) separates a .NET orchestrator from a Python AI service across an HMAC-signed boundary, with a Redis-backed FIFO queue, Server-Sent-Events (SSE) progress streaming, retry/back-off, and an LLM JSON self-correction loop.</w:t>
      </w:r>
    </w:p>
    <w:p w:rsidR="00000000" w:rsidDel="00000000" w:rsidP="00000000" w:rsidRDefault="00000000" w:rsidRPr="00000000" w14:paraId="00000037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We document the system as it is implemented and evaluate it functionally and architecturally. Consistent with an honest reporting standard, we explicitly note where empirical evidence is not yet available: CVerify has not yet been subjected to a controlled accuracy study against ground-truth labels, and no benchmark, user study, or production telemetry is reported here.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agk77ogku1db" w:id="5"/>
      <w:bookmarkEnd w:id="5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Related Work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PT Serif" w:cs="PT Serif" w:eastAsia="PT Serif" w:hAnsi="PT Serif"/>
          <w:b w:val="1"/>
          <w:bCs w:val="1"/>
          <w:sz w:val="34"/>
          <w:szCs w:val="34"/>
        </w:rPr>
      </w:pPr>
      <w:bookmarkStart w:colFirst="0" w:colLast="0" w:name="_wab4g5zg4h5i" w:id="6"/>
      <w:bookmarkEnd w:id="6"/>
      <w:r w:rsidDel="00000000" w:rsidR="00000000" w:rsidRPr="00000000">
        <w:rPr>
          <w:rFonts w:ascii="PT Serif" w:cs="PT Serif" w:eastAsia="PT Serif" w:hAnsi="PT Serif"/>
          <w:b w:val="1"/>
          <w:bCs w:val="1"/>
          <w:sz w:val="34"/>
          <w:szCs w:val="34"/>
          <w:rtl w:val="0"/>
        </w:rPr>
        <w:t xml:space="preserve">Repository mining and developer expertise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Mining software repositories is a mature field. GHTorrent [1] provided a scalable mirror of GitHub activity that enabled empirical study of contribution data. Expertise modelling has long used such data: Mockus and Herbsleb [2] quantified expertise from authored change, and Dey et al. [3] represented developer expertise as a learned skill space derived from contribution behaviour. These works establish that authorship and ownership are measurable, but they target analytics and recommendation rather than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adversarial verification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for hiring, where a candidate has an incentive to inflate claims. CVerify reuses ownership and contribution signals but frames them as evidence to be cross-checked against self-declared claims.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PT Serif" w:cs="PT Serif" w:eastAsia="PT Serif" w:hAnsi="PT Serif"/>
          <w:b w:val="1"/>
          <w:bCs w:val="1"/>
          <w:sz w:val="34"/>
          <w:szCs w:val="34"/>
        </w:rPr>
      </w:pPr>
      <w:bookmarkStart w:colFirst="0" w:colLast="0" w:name="_pbrj35mmrnvz" w:id="7"/>
      <w:bookmarkEnd w:id="7"/>
      <w:r w:rsidDel="00000000" w:rsidR="00000000" w:rsidRPr="00000000">
        <w:rPr>
          <w:rFonts w:ascii="PT Serif" w:cs="PT Serif" w:eastAsia="PT Serif" w:hAnsi="PT Serif"/>
          <w:b w:val="1"/>
          <w:bCs w:val="1"/>
          <w:sz w:val="34"/>
          <w:szCs w:val="34"/>
          <w:rtl w:val="0"/>
        </w:rPr>
        <w:t xml:space="preserve">Code clone and duplication detection</w:t>
      </w:r>
    </w:p>
    <w:p w:rsidR="00000000" w:rsidDel="00000000" w:rsidP="00000000" w:rsidRDefault="00000000" w:rsidRPr="00000000" w14:paraId="0000003C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Verifying authenticity requires detecting copied code. Clone detection is surveyed by Roy et al. [12]; token-based detectors such as SourcererCC [11] scale to large corpora, and large-scale studies such as DéjàVu [13] show that a large fraction of public code is duplicated. CVerify adopts the MinHash/LSH resemblance estimation of Broder [10] for near-duplicate detection inside a candidate workspace, using it as one anti-fraud signal feeding the trust score rather than as a standalone plagiarism verdict.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PT Serif" w:cs="PT Serif" w:eastAsia="PT Serif" w:hAnsi="PT Serif"/>
          <w:b w:val="1"/>
          <w:bCs w:val="1"/>
          <w:sz w:val="34"/>
          <w:szCs w:val="34"/>
        </w:rPr>
      </w:pPr>
      <w:bookmarkStart w:colFirst="0" w:colLast="0" w:name="_9sta236ltv0a" w:id="8"/>
      <w:bookmarkEnd w:id="8"/>
      <w:r w:rsidDel="00000000" w:rsidR="00000000" w:rsidRPr="00000000">
        <w:rPr>
          <w:rFonts w:ascii="PT Serif" w:cs="PT Serif" w:eastAsia="PT Serif" w:hAnsi="PT Serif"/>
          <w:b w:val="1"/>
          <w:bCs w:val="1"/>
          <w:sz w:val="34"/>
          <w:szCs w:val="34"/>
          <w:rtl w:val="0"/>
        </w:rPr>
        <w:t xml:space="preserve">Machine learning and LLMs for code</w:t>
      </w:r>
    </w:p>
    <w:p w:rsidR="00000000" w:rsidDel="00000000" w:rsidP="00000000" w:rsidRDefault="00000000" w:rsidRPr="00000000" w14:paraId="0000003E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naturalness hypothesis [4] and the survey of machine learning for “big code” [5] motivated learned models of source code. Transformer architectures [6] and few-shot LLMs [7] led to code-specialised models [8], and a systematic review [9] catalogues their rapidly expanding use across software-engineering tasks. CVerify uses an LLM not as a generator but as a constrained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extractor and explainer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: each LLM stage emits schema-validated JSON that is checked, repaired, and, on repeated failure, replaced by a deterministic fallback, so that non-deterministic model output never silently becomes an unverifiable score.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PT Serif" w:cs="PT Serif" w:eastAsia="PT Serif" w:hAnsi="PT Serif"/>
          <w:b w:val="1"/>
          <w:bCs w:val="1"/>
          <w:sz w:val="34"/>
          <w:szCs w:val="34"/>
        </w:rPr>
      </w:pPr>
      <w:bookmarkStart w:colFirst="0" w:colLast="0" w:name="_tzstg032yi3m" w:id="9"/>
      <w:bookmarkEnd w:id="9"/>
      <w:r w:rsidDel="00000000" w:rsidR="00000000" w:rsidRPr="00000000">
        <w:rPr>
          <w:rFonts w:ascii="PT Serif" w:cs="PT Serif" w:eastAsia="PT Serif" w:hAnsi="PT Serif"/>
          <w:b w:val="1"/>
          <w:bCs w:val="1"/>
          <w:sz w:val="34"/>
          <w:szCs w:val="34"/>
          <w:rtl w:val="0"/>
        </w:rPr>
        <w:t xml:space="preserve">Research gap</w:t>
      </w:r>
    </w:p>
    <w:p w:rsidR="00000000" w:rsidDel="00000000" w:rsidP="00000000" w:rsidRDefault="00000000" w:rsidRPr="00000000" w14:paraId="00000040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Prior work supplies the components—mining, clone detection, expertise modelling, LLM code reasoning—but does not integrate them into a single auditable pipeline that (a) separates verified from self-declared signal, (b) keeps every score traceable to a code artifact, and (c) packages the result as a trust-weighted, explainable hiring signal. CVerify targets this integration gap.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y7t8a1pje145" w:id="10"/>
      <w:bookmarkEnd w:id="10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42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CVerify is a monorepo with three runtimes: a Next.js client, an ASP.NET Core orchestrator (CVerify.Core), and a Python FastAPI AI service (CVerify.AI). The orchestrator follows a Clean-Architecture layering (API, Application, Core/Domain, Infrastructure) and owns all durable state in PostgreSQL; the AI service owns repository cloning and analysis. The two communicate over HTTP with HMAC-signed requests, coordinated by a Redis-backed queue and Redis Pub/Sub for progress streaming. Figure 1 summarises the topology.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CVerify runtime topology. Derived from repository analysis (docs/repository-analysis-workflow.md, docker-compose.yml, CVerify.Core/README.md).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3gfkfh1zc0os" w:id="11"/>
      <w:bookmarkEnd w:id="11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Orchestration and state.</w:t>
      </w:r>
    </w:p>
    <w:p w:rsidR="00000000" w:rsidDel="00000000" w:rsidP="00000000" w:rsidRDefault="00000000" w:rsidRPr="00000000" w14:paraId="00000045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orchestrator exposes REST endpoints to enqueue an analysis, stream progress, and read results. On enqueue it creates an AnalysisJob and its AnalysisTask rows, pushes the job id onto a Redis list (repository:analysis:queue), and returns 202 Accepted. A background processor dequeues jobs and drives a strict lifecycle (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Queued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Preparing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Running­Agents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Aggregating­Results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SavingReport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Completed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), with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Failed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Cancelled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and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TimedOut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terminal states and a ten-minute execution budget. A startup sweeper marks jobs left active by a crash as </w:t>
      </w:r>
      <w:r w:rsidDel="00000000" w:rsidR="00000000" w:rsidRPr="00000000">
        <w:rPr>
          <w:rFonts w:ascii="PT Serif" w:cs="PT Serif" w:eastAsia="PT Serif" w:hAnsi="PT Serif"/>
          <w:smallCaps w:val="1"/>
          <w:rtl w:val="0"/>
        </w:rPr>
        <w:t xml:space="preserve">Failed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so they can be retried.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qdhvv6ju14sy" w:id="12"/>
      <w:bookmarkEnd w:id="12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Cross-runtime boundary and resilience.</w:t>
      </w:r>
    </w:p>
    <w:p w:rsidR="00000000" w:rsidDel="00000000" w:rsidP="00000000" w:rsidRDefault="00000000" w:rsidRPr="00000000" w14:paraId="00000047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.NET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39700" cy="29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Python calls are HMAC-signed and retried up to three times (500/1000/2000 ms back-off) on transient errors; Anthropic API calls inside the Python service are retried up to five times with exponential back-off and randomised jitter on rate-limit/5xx responses. Truncated or malformed LLM JSON is passed through a repair heuristic that isolates the outermost braces and closes unbalanced structures before validation.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ujel5dsr47op" w:id="13"/>
      <w:bookmarkEnd w:id="13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Persistence and projection.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On success, the aggregated report is written and projected into relational tables (repository_assessments, repository_capabilities, repository_skill_attributions, repository_domains, repository_intelligence_signals) within a single transaction; the source repository row is updated with is_verified, trust_score, and risk status. Intermediate per-task JSON envelopes are archived to object storage for cost/audit tracking.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o9flq25135qe" w:id="14"/>
      <w:bookmarkEnd w:id="14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Repository-Intelligence Pipeline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analysis is a configuration-driven DAG declared in pipeline_config.json: twenty-two stages, each with a task type, prerequisites, and the capabilities it provides. Table 1 lists representative stages. Stages fall into three classes: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deterministic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(Git mining, complexity, clone detection, ownership, trust scoring),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LLM-assisted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(skill, feature, architecture, quality, classification, summary, CV synthesis), and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aggregation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Representative pipeline stages and their prerequisites. Derived from pipeline_config.json and docs/repository-analysis-workflow.md.</w:t>
      </w:r>
    </w:p>
    <w:tbl>
      <w:tblPr>
        <w:tblStyle w:val="Table1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650"/>
        <w:gridCol w:w="3180"/>
        <w:tblGridChange w:id="0">
          <w:tblGrid>
            <w:gridCol w:w="2730"/>
            <w:gridCol w:w="1650"/>
            <w:gridCol w:w="31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Key prerequisites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— (root)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CommitIntelligence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LLM-assisted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CommitDiff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SkillExtraction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LLM-assisted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ArchitectureAnalysis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LLM-assisted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CommitDiff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CodeQuality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LLM-assisted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CloneDetection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AiGeneratedCode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RepoStructure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SkillGraph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Ownership, SkillExtraction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TrustScore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Deterministic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Ownership, CodeQuality, …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RepoIntelligenceReport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TrustScore, SkillGraph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CvSynthesis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LLM-assisted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RepositorySummary</w:t>
            </w:r>
          </w:p>
        </w:tc>
      </w:tr>
    </w:tbl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hgo83pwbks97" w:id="15"/>
      <w:bookmarkEnd w:id="15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Compile-time validation.</w:t>
      </w:r>
    </w:p>
    <w:p w:rsidR="00000000" w:rsidDel="00000000" w:rsidP="00000000" w:rsidRDefault="00000000" w:rsidRPr="00000000" w14:paraId="0000007B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Before execution the candidate-side DAG is validated (CVerify.AI/app/pipelines/candidate/dag.py): (i) a Kahn topological sort detects cycles; (ii) every declared task input/output key is checked against the shared pipeline-context schema; and (iii) an unused-output scan warns when a stage produces data that no downstream stage or external consumer reads. This turns pipeline-wiring mistakes into startup errors rather than silent runtime gaps.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ll29732fmvwd" w:id="16"/>
      <w:bookmarkEnd w:id="16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Ingestion bounds and sampling.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root stage clones the default branch (shallow, depth 100), runs a technology detector, and samples representative files (top files, capped per file). A repository exceeding 10,000 files or 150 MB is rejected, bounding cost and runtime.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ghk1kupz7184" w:id="17"/>
      <w:bookmarkEnd w:id="17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Anti-fraud signals.</w:t>
      </w:r>
    </w:p>
    <w:p w:rsidR="00000000" w:rsidDel="00000000" w:rsidP="00000000" w:rsidRDefault="00000000" w:rsidRPr="00000000" w14:paraId="0000007F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Three deterministic stages feed the trust model: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CloneDetection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estimates near-duplication using MinHash/LSH [10] (falling back to commit-pattern heuristics if the hashing library is unavailable);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AiGeneratedCode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flags large single-burst code dumps; and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Ownership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combines Git blame and clone signal into a weighted ownership score. These follow the clone-detection tradition [11], [12] but are used as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evidence inputs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not as final verdicts.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x48mobvdj9m3" w:id="18"/>
      <w:bookmarkEnd w:id="18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Competency Scoring Model</w:t>
      </w:r>
    </w:p>
    <w:p w:rsidR="00000000" w:rsidDel="00000000" w:rsidP="00000000" w:rsidRDefault="00000000" w:rsidRPr="00000000" w14:paraId="00000081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scoring engine (CVerify.AI/app/pipelines/candidate/scoring_engine.py) computes five competency dimensions: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skill depth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ownership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architecture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problem solving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and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impact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. Each dimension has a weight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77800" cy="292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and two shape parameters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65100" cy="292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(scale) and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52400" cy="2921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(sensitivity) declared in scoring_policy.json (Table 2).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Scoring dimensions and parameters. Verbatim from scoring_policy.json (version 1.0.0).</w:t>
      </w:r>
    </w:p>
    <w:tbl>
      <w:tblPr>
        <w:tblStyle w:val="Table2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305"/>
        <w:gridCol w:w="1140"/>
        <w:gridCol w:w="1605"/>
        <w:tblGridChange w:id="0">
          <w:tblGrid>
            <w:gridCol w:w="1920"/>
            <w:gridCol w:w="1305"/>
            <w:gridCol w:w="1140"/>
            <w:gridCol w:w="16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Weight </w:t>
            </w:r>
            <w:r w:rsidDel="00000000" w:rsidR="00000000" w:rsidRPr="00000000">
              <w:rPr>
                <w:rFonts w:ascii="PT Serif" w:cs="PT Serif" w:eastAsia="PT Serif" w:hAnsi="PT Serif"/>
              </w:rPr>
              <w:drawing>
                <wp:inline distB="114300" distT="114300" distL="114300" distR="114300">
                  <wp:extent cx="177800" cy="203200"/>
                  <wp:effectExtent b="0" l="0" r="0" t="0"/>
                  <wp:docPr id="1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Scale </w:t>
            </w:r>
            <w:r w:rsidDel="00000000" w:rsidR="00000000" w:rsidRPr="00000000">
              <w:rPr>
                <w:rFonts w:ascii="PT Serif" w:cs="PT Serif" w:eastAsia="PT Serif" w:hAnsi="PT Serif"/>
              </w:rPr>
              <w:drawing>
                <wp:inline distB="114300" distT="114300" distL="114300" distR="114300">
                  <wp:extent cx="165100" cy="2032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Sensitivity </w:t>
            </w:r>
            <w:r w:rsidDel="00000000" w:rsidR="00000000" w:rsidRPr="00000000">
              <w:rPr>
                <w:rFonts w:ascii="PT Serif" w:cs="PT Serif" w:eastAsia="PT Serif" w:hAnsi="PT Serif"/>
              </w:rPr>
              <w:drawing>
                <wp:inline distB="114300" distT="114300" distL="114300" distR="114300">
                  <wp:extent cx="152400" cy="203200"/>
                  <wp:effectExtent b="0" l="0" r="0" t="0"/>
                  <wp:docPr id="2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Skill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0.05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0.20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0.05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Problem solving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0.10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5gj4qnmsur1z" w:id="19"/>
      <w:bookmarkEnd w:id="19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Dimension compression.</w:t>
      </w:r>
    </w:p>
    <w:p w:rsidR="00000000" w:rsidDel="00000000" w:rsidP="00000000" w:rsidRDefault="00000000" w:rsidRPr="00000000" w14:paraId="0000009C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For a dimension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01600" cy="292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with accumulated raw evidence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457200" cy="292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the engine applies a concave logarithmic transform</w:t>
      </w:r>
    </w:p>
    <w:p w:rsidR="00000000" w:rsidDel="00000000" w:rsidP="00000000" w:rsidRDefault="00000000" w:rsidRPr="00000000" w14:paraId="0000009D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625600" cy="292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which rewards additional evidence with diminishing returns, limiting the influence of any single inflated input. The raw evidence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77800" cy="2921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is assembled differently per dimension: e.g. skill depth accumulates proficiency x 25</w:t>
        <w:tab/>
        <w:t xml:space="preserve"> only for skills that are simultaneously declared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and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attributed to a verified repository; architecture accumulates the de-duplicated difficulty of high-difficulty capabilities; problem solving combines repository consistency, quality, and ownership signals.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yc0mrffqhqit" w:id="20"/>
      <w:bookmarkEnd w:id="20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Dual track: verified vs. self-declared.</w:t>
      </w:r>
    </w:p>
    <w:p w:rsidR="00000000" w:rsidDel="00000000" w:rsidP="00000000" w:rsidRDefault="00000000" w:rsidRPr="00000000" w14:paraId="000000A0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Crucially, the five dimensions are computed twice. The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verified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track uses only signal attributable to analysed repositories; the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self-declared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track uses CV projects/experiences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backed by a verified repository. A per-dimension overall is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596900" cy="292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in each track.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iea2zvvgzpfj" w:id="21"/>
      <w:bookmarkEnd w:id="21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Evidence-favouring aggregation.</w:t>
      </w:r>
    </w:p>
    <w:p w:rsidR="00000000" w:rsidDel="00000000" w:rsidP="00000000" w:rsidRDefault="00000000" w:rsidRPr="00000000" w14:paraId="000000A2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two tracks are combined per dimension. When at least one verified repository exists, the verified track dominates (0.85 vs. 0.15) at full scale; when no verified repository exists, the score uses the self-declared track only and is multiplied by a ceiling factor of 0.4, structurally capping unverifiable profiles:</w:t>
      </w:r>
    </w:p>
    <w:p w:rsidR="00000000" w:rsidDel="00000000" w:rsidP="00000000" w:rsidRDefault="00000000" w:rsidRPr="00000000" w14:paraId="000000A3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5943600" cy="5207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combined overall score is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596900" cy="29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a3hs14w9ug8q" w:id="22"/>
      <w:bookmarkEnd w:id="22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Cohort normalisation and uncertainty.</w:t>
      </w:r>
    </w:p>
    <w:p w:rsidR="00000000" w:rsidDel="00000000" w:rsidP="00000000" w:rsidRDefault="00000000" w:rsidRPr="00000000" w14:paraId="000000A6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raw combined score is mapped to a 0–100 percentile by piecewise-linear interpolation over a versioned cohort snapshot (falling back to a clamped identity map when no snapshot exists). An uncertainty band widens with the share of self-declared signal: with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76200" cy="292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the ratio of the self-declared to combined score (clamped to [0,1]), the half-width is</w:t>
      </w:r>
    </w:p>
    <w:p w:rsidR="00000000" w:rsidDel="00000000" w:rsidP="00000000" w:rsidRDefault="00000000" w:rsidRPr="00000000" w14:paraId="000000A7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387600" cy="292100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i.e.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03200" cy="2921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for fully verified profiles growing to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92100" cy="292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for fully self-declared ones. This makes the system’s confidence in a score an explicit, reported quantity.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iuwxjr4tu5jq" w:id="23"/>
      <w:bookmarkEnd w:id="23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Trust Scoring and Candidate–Job Matching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ct9o00aw2dtp" w:id="24"/>
      <w:bookmarkEnd w:id="24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Candidate ranking.</w:t>
      </w:r>
    </w:p>
    <w:p w:rsidR="00000000" w:rsidDel="00000000" w:rsidP="00000000" w:rsidRDefault="00000000" w:rsidRPr="00000000" w14:paraId="000000AB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For discovery, a ranking projection (CandidateRankingCalculator.cs) combines the AI competency score, the trust score, profile completeness, and an open-source impact score:</w:t>
      </w:r>
    </w:p>
    <w:p w:rsidR="00000000" w:rsidDel="00000000" w:rsidP="00000000" w:rsidRDefault="00000000" w:rsidRPr="00000000" w14:paraId="000000AC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4457700" cy="292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where the OSS impact is bounded by construction,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5168900" cy="292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so popularity cannot dominate verified competency.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2jkedha0lwox" w:id="25"/>
      <w:bookmarkEnd w:id="25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Unified candidate–job matching.</w:t>
      </w:r>
    </w:p>
    <w:p w:rsidR="00000000" w:rsidDel="00000000" w:rsidP="00000000" w:rsidRDefault="00000000" w:rsidRPr="00000000" w14:paraId="000000AF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matching engine (UnifiedMatchingEngine.cs) scores a candidate against a job requirement on four weighted factors (Table 3): capability fit, role fit, trust, and preference fit. Capability fit iterates the required capabilities; a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verified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capability meeting the expected level scores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03200" cy="2921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a verified-but-below-level capability scores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1892300" cy="2921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and a merely self-declared capability is capped at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92100" cy="292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with low confidence. Every comparison emits an EvidenceTrace (status, metric, target file, rationale), so a match score decomposes into auditable per-capability claims rather than an opaque number.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Unified match factors and weights. Verbatim from UnifiedMatchingEngine.cs.</w:t>
      </w:r>
    </w:p>
    <w:tbl>
      <w:tblPr>
        <w:tblStyle w:val="Table3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960"/>
        <w:gridCol w:w="4035"/>
        <w:tblGridChange w:id="0">
          <w:tblGrid>
            <w:gridCol w:w="1650"/>
            <w:gridCol w:w="960"/>
            <w:gridCol w:w="40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Basis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Capability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verified vs. expected capability level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Role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seniority + leadership match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0.4 identity + 0.6 evidence trust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Preference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rFonts w:ascii="PT Serif" w:cs="PT Serif" w:eastAsia="PT Serif" w:hAnsi="PT Serif"/>
              </w:rPr>
            </w:pPr>
            <w:r w:rsidDel="00000000" w:rsidR="00000000" w:rsidRPr="00000000">
              <w:rPr>
                <w:rFonts w:ascii="PT Serif" w:cs="PT Serif" w:eastAsia="PT Serif" w:hAnsi="PT Serif"/>
                <w:rtl w:val="0"/>
              </w:rPr>
              <w:t xml:space="preserve">0.6 salary + 0.4workplace</w:t>
            </w:r>
          </w:p>
        </w:tc>
      </w:tr>
    </w:tbl>
    <w:p w:rsidR="00000000" w:rsidDel="00000000" w:rsidP="00000000" w:rsidRDefault="00000000" w:rsidRPr="00000000" w14:paraId="000000C0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A second, deterministic JD-matching service provides an alternative contract (skills 35%, projects 25%, experience 15%, contribution quality 10%, trust 10%, risk 5%) used as a reliable, testable fallback aligned with the AI pipeline’s prompt contract (matching_architecture.md).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dxd9ap95c8k" w:id="26"/>
      <w:bookmarkEnd w:id="26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Evaluation</w:t>
      </w:r>
    </w:p>
    <w:p w:rsidR="00000000" w:rsidDel="00000000" w:rsidP="00000000" w:rsidRDefault="00000000" w:rsidRPr="00000000" w14:paraId="000000C2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We evaluate CVerify functionally and architecturally; we do not report accuracy, precision, or recall, because a controlled study against ground-truth labels has not yet been conducted (Section 8).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hgp746o1ur34" w:id="27"/>
      <w:bookmarkEnd w:id="27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Functional verification.</w:t>
      </w:r>
    </w:p>
    <w:p w:rsidR="00000000" w:rsidDel="00000000" w:rsidP="00000000" w:rsidRDefault="00000000" w:rsidRPr="00000000" w14:paraId="000000C4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implemented analysis pipeline executes end-to-end through the documented lifecycle and projects results into the relational schema described in Section 3. The DAG validator rejects cyclic or schema-incompatible pipeline definitions at startup, and the LLM stages enforce schema validation with bounded self-correction and deterministic fallback, preventing malformed model output from reaching a stored score.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aox0qig2ktsq" w:id="28"/>
      <w:bookmarkEnd w:id="28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Reported test outcomes.</w:t>
      </w:r>
    </w:p>
    <w:p w:rsidR="00000000" w:rsidDel="00000000" w:rsidP="00000000" w:rsidRDefault="00000000" w:rsidRPr="00000000" w14:paraId="000000C6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repository’s implementation report (implementation_report.md) records that, for the JD-matching feature, the targeted unit tests passed (7/7) and the targeted integration test passed (1/1) (dotnet test … --filter …Jd); it also records a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known failing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architectural boundary test (ModularBoundaryTests) unrelated to that feature. We report these as documented outcomes; we did not re-execute the suite for this paper, so they are evidence of reported status rather than an independently reproduced result.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g7rr9s5twza6" w:id="29"/>
      <w:bookmarkEnd w:id="29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Operational characteristics.</w:t>
      </w:r>
    </w:p>
    <w:p w:rsidR="00000000" w:rsidDel="00000000" w:rsidP="00000000" w:rsidRDefault="00000000" w:rsidRPr="00000000" w14:paraId="000000C8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From the architecture documentation, LLM stages take roughly 5–25 s each, the pipeline runs under a ten-minute budget, ingestion is bounded at 10,000 files / 150 MB, and per-job/per-task token usage and estimated USD cost are persisted for every execution, giving the platform first-class cost observability. A measured throughput/latency benchmark under load has not been collected.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i8qoy35wuzxk" w:id="30"/>
      <w:bookmarkEnd w:id="30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Discussion and Threats to Validity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4sy3r1ok0qmi" w:id="31"/>
      <w:bookmarkEnd w:id="31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Construct validity.</w:t>
      </w:r>
    </w:p>
    <w:p w:rsidR="00000000" w:rsidDel="00000000" w:rsidP="00000000" w:rsidRDefault="00000000" w:rsidRPr="00000000" w14:paraId="000000CB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The five competency dimensions and the trust factors encode design judgements (weights, scale parameters, the </w:t>
      </w:r>
      <w:r w:rsidDel="00000000" w:rsidR="00000000" w:rsidRPr="00000000">
        <w:rPr>
          <w:rFonts w:ascii="PT Serif" w:cs="PT Serif" w:eastAsia="PT Serif" w:hAnsi="PT Serif"/>
        </w:rPr>
        <w:drawing>
          <wp:inline distB="114300" distT="114300" distL="114300" distR="114300">
            <wp:extent cx="292100" cy="292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self-declared ceiling). They are internally consistent and evidence-anchored, but whether they correlate with real hiring outcomes is unvalidated. Equation [eq:band] reports model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uncertainty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not external correctness.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ldwnhxkk7nhm" w:id="32"/>
      <w:bookmarkEnd w:id="32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Internal validity.</w:t>
      </w:r>
    </w:p>
    <w:p w:rsidR="00000000" w:rsidDel="00000000" w:rsidP="00000000" w:rsidRDefault="00000000" w:rsidRPr="00000000" w14:paraId="000000CD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LLM stages are non-deterministic. CVerify mitigates this with schema validation, a self-correction retry, a similarity guard against summary echoing, and deterministic fallbacks, but residual model error can still bias LLM-derived inputs to the (otherwise deterministic) scores.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8lgzpdgti319" w:id="33"/>
      <w:bookmarkEnd w:id="33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External validity.</w:t>
      </w:r>
    </w:p>
    <w:p w:rsidR="00000000" w:rsidDel="00000000" w:rsidP="00000000" w:rsidRDefault="00000000" w:rsidRPr="00000000" w14:paraId="000000CF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Clone and AI-generation signals are heuristic; given the prevalence of duplicated public code [13], they should be read as risk indicators rather than proof of misconduct. Results may not generalise across languages or repository styles not represented in the sampled files.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rFonts w:ascii="PT Serif" w:cs="PT Serif" w:eastAsia="PT Serif" w:hAnsi="PT Serif"/>
          <w:b w:val="1"/>
          <w:bCs w:val="1"/>
          <w:color w:val="000000"/>
          <w:sz w:val="22"/>
          <w:szCs w:val="22"/>
        </w:rPr>
      </w:pPr>
      <w:bookmarkStart w:colFirst="0" w:colLast="0" w:name="_y04ajd2t5f45" w:id="34"/>
      <w:bookmarkEnd w:id="34"/>
      <w:r w:rsidDel="00000000" w:rsidR="00000000" w:rsidRPr="00000000">
        <w:rPr>
          <w:rFonts w:ascii="PT Serif" w:cs="PT Serif" w:eastAsia="PT Serif" w:hAnsi="PT Serif"/>
          <w:b w:val="1"/>
          <w:bCs w:val="1"/>
          <w:color w:val="000000"/>
          <w:sz w:val="22"/>
          <w:szCs w:val="22"/>
          <w:rtl w:val="0"/>
        </w:rPr>
        <w:t xml:space="preserve">Evaluation validity.</w:t>
      </w:r>
    </w:p>
    <w:p w:rsidR="00000000" w:rsidDel="00000000" w:rsidP="00000000" w:rsidRDefault="00000000" w:rsidRPr="00000000" w14:paraId="000000D1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Most importantly, no ground-truth accuracy study, user study, or production telemetry has been conducted. All effectiveness claims in this paper are therefore architectural and functional, not empirical.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fplsilubu0n6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rFonts w:ascii="PT Serif" w:cs="PT Serif" w:eastAsia="PT Serif" w:hAnsi="PT Serif"/>
          <w:b w:val="1"/>
          <w:bCs w:val="1"/>
          <w:sz w:val="46"/>
          <w:szCs w:val="46"/>
        </w:rPr>
      </w:pPr>
      <w:bookmarkStart w:colFirst="0" w:colLast="0" w:name="_ry9iewqkyhy9" w:id="36"/>
      <w:bookmarkEnd w:id="36"/>
      <w:r w:rsidDel="00000000" w:rsidR="00000000" w:rsidRPr="00000000">
        <w:rPr>
          <w:rFonts w:ascii="PT Serif" w:cs="PT Serif" w:eastAsia="PT Serif" w:hAnsi="PT Serif"/>
          <w:b w:val="1"/>
          <w:bCs w:val="1"/>
          <w:sz w:val="46"/>
          <w:szCs w:val="46"/>
          <w:rtl w:val="0"/>
        </w:rPr>
        <w:t xml:space="preserve">Conclusion and Future Work</w:t>
      </w:r>
    </w:p>
    <w:p w:rsidR="00000000" w:rsidDel="00000000" w:rsidP="00000000" w:rsidRDefault="00000000" w:rsidRPr="00000000" w14:paraId="000000D4">
      <w:pPr>
        <w:spacing w:after="180" w:before="18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CVerify operationalises a single principle—anchor every hiring signal to code evidence and never conflate verified with self-declared claims—into a working platform: a validated twenty-two-stage repository-intelligence pipeline, a dual-track competency model with explicit uncertainty, a deterministic trust score, and an evidence-traceable matching engine, all carried by a resilient two-runtime architecture. The system is fully implemented and functionally verified. The decisive next step is empirical: a controlled study that compares CVerify’s verified scores and match recommendations against ground-truth authorship and expert hiring judgements, complemented by clone/AI-generation detection accuracy measurement and an end-to-end performance benchmark. Until that evidence exists, CVerify’s contribution is a transparent, auditable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architecture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 for evidence-anchored developer verification rather than a validated predictor of hiring success.</w:t>
      </w:r>
    </w:p>
    <w:p w:rsidR="00000000" w:rsidDel="00000000" w:rsidP="00000000" w:rsidRDefault="00000000" w:rsidRPr="00000000" w14:paraId="000000D5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[1]     </w:t>
        <w:tab/>
        <w:t xml:space="preserve">G. Gousios, “The GHTorrent dataset and tool suite,”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10th working conference on mining software repositories (MSR)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2013, pp. 233–236. doi:</w:t>
      </w:r>
      <w:hyperlink r:id="rId29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10.1109/MSR.2013.6624034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[2]     </w:t>
        <w:tab/>
        <w:t xml:space="preserve">A. Mockus and J. D. Herbsleb, “Expertise browser: A quantitative approach to identifying expertise,”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24th international conference on software engineering (ICSE)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2002, pp. 503–512. doi:</w:t>
      </w:r>
      <w:hyperlink r:id="rId31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10.1145/581339.581401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[3]     </w:t>
        <w:tab/>
        <w:t xml:space="preserve">T. Dey, A. Karnauch, and A. Mockus, “Representation of developer expertise in open source software,”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43rd international conference on software engineering (ICSE)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2021, pp. 995–1007. doi:</w:t>
      </w:r>
      <w:hyperlink r:id="rId33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10.1109/ICSE43902.2021.00094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[4]     </w:t>
        <w:tab/>
        <w:t xml:space="preserve">A. Hindle, E. T. Barr, Z. Su, M. Gabel, and P. Devanbu, “On the naturalness of software,”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34th international conference on software engineering (ICSE)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2012, pp. 837–847. doi:</w:t>
      </w:r>
      <w:hyperlink r:id="rId35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10.1109/ICSE.2012.6227135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[5]     </w:t>
        <w:tab/>
        <w:t xml:space="preserve">M. Allamanis, E. T. Barr, P. Devanbu, and C. Sutton, “A survey of machine learning for big code and naturalness,”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ACM Computing Surveys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vol. 51, no. 4, pp. 1–37, 2018, doi:</w:t>
      </w:r>
      <w:hyperlink r:id="rId37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10.1145/3212695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[6]     </w:t>
        <w:tab/>
        <w:t xml:space="preserve">A. Vaswani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“Attention is all you need,”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Advances in neural information processing systems 30 (NeurIPS)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2017, pp. 5998–6008. doi:</w:t>
      </w:r>
      <w:hyperlink r:id="rId39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10.48550/arXiv.1706.03762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[7]     </w:t>
        <w:tab/>
        <w:t xml:space="preserve">T. B. Brown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“Language models are few-shot learners,”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Advances in neural information processing systems 33 (NeurIPS)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2020, pp. 1877–1901. doi:</w:t>
      </w:r>
      <w:hyperlink r:id="rId41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10.48550/arXiv.2005.14165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[8]     </w:t>
        <w:tab/>
        <w:t xml:space="preserve">M. Chen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“Evaluating large language models trained on code,”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arXiv preprint arXiv:2107.03374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2021, doi:</w:t>
      </w:r>
      <w:hyperlink r:id="rId43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10.48550/arXiv.2107.03374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[9]     </w:t>
        <w:tab/>
        <w:t xml:space="preserve">X. Hou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“Large language models for software engineering: A systematic literature review,”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ACM Transactions on Software Engineering and Methodology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vol. 33, no. 8, pp. 1–79, 2024, doi:</w:t>
      </w:r>
      <w:hyperlink r:id="rId45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10.1145/3695988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[10]   </w:t>
        <w:tab/>
        <w:t xml:space="preserve">A. Z. Broder, “On the resemblance and containment of documents,”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compression and complexity of sequences (SEQUENCES)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1997, pp. 21–29. doi:</w:t>
      </w:r>
      <w:hyperlink r:id="rId47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10.1109/SEQUEN.1997.666900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[11]   </w:t>
        <w:tab/>
        <w:t xml:space="preserve">H. Sajnani, V. Saini, J. Svajlenko, C. K. Roy, and C. V. Lopes, “SourcererCC: Scaling code clone detection to big-code,” in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38th international conference on software engineering (ICSE)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2016, pp. 1157–1168. doi:</w:t>
      </w:r>
      <w:hyperlink r:id="rId49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10.1145/2884781.2884877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[12]   </w:t>
        <w:tab/>
        <w:t xml:space="preserve">C. K. Roy, J. R. Cordy, and R. Koschke, “Comparison and evaluation of code clone detection techniques and tools: A qualitative approach,”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Science of Computer Programming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vol. 74, no. 7, pp. 470–495, 2009, doi:</w:t>
      </w:r>
      <w:hyperlink r:id="rId51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10.1016/j.scico.2009.02.007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00" w:lineRule="auto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[13]   </w:t>
        <w:tab/>
        <w:t xml:space="preserve">C. V. Lopes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et al.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“DéjàVu: A map of code duplicates on GitHub,” </w:t>
      </w:r>
      <w:r w:rsidDel="00000000" w:rsidR="00000000" w:rsidRPr="00000000">
        <w:rPr>
          <w:rFonts w:ascii="PT Serif" w:cs="PT Serif" w:eastAsia="PT Serif" w:hAnsi="PT Serif"/>
          <w:i w:val="1"/>
          <w:iCs w:val="1"/>
          <w:rtl w:val="0"/>
        </w:rPr>
        <w:t xml:space="preserve">Proceedings of the ACM on Programming Languages</w:t>
      </w:r>
      <w:r w:rsidDel="00000000" w:rsidR="00000000" w:rsidRPr="00000000">
        <w:rPr>
          <w:rFonts w:ascii="PT Serif" w:cs="PT Serif" w:eastAsia="PT Serif" w:hAnsi="PT Serif"/>
          <w:rtl w:val="0"/>
        </w:rPr>
        <w:t xml:space="preserve">, vol. 1, no. OOPSLA, pp. 1–28, 2017, doi:</w:t>
      </w:r>
      <w:hyperlink r:id="rId53">
        <w:r w:rsidDel="00000000" w:rsidR="00000000" w:rsidRPr="00000000">
          <w:rPr>
            <w:rFonts w:ascii="PT Serif" w:cs="PT Serif" w:eastAsia="PT Serif" w:hAnsi="PT Serif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PT Serif" w:cs="PT Serif" w:eastAsia="PT Serif" w:hAnsi="PT Serif"/>
            <w:color w:val="1155cc"/>
            <w:u w:val="single"/>
            <w:rtl w:val="0"/>
          </w:rPr>
          <w:t xml:space="preserve">10.1145/3133908</w:t>
        </w:r>
      </w:hyperlink>
      <w:r w:rsidDel="00000000" w:rsidR="00000000" w:rsidRPr="00000000">
        <w:rPr>
          <w:rFonts w:ascii="PT Serif" w:cs="PT Serif" w:eastAsia="PT Serif" w:hAnsi="PT Serif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rFonts w:ascii="PT Serif" w:cs="PT Serif" w:eastAsia="PT Serif" w:hAnsi="PT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PT Serif" w:cs="PT Serif" w:eastAsia="PT Serif" w:hAnsi="PT Serif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48550/arXiv.1706.03762" TargetMode="External"/><Relationship Id="rId42" Type="http://schemas.openxmlformats.org/officeDocument/2006/relationships/hyperlink" Target="https://doi.org/10.48550/arXiv.2005.14165" TargetMode="External"/><Relationship Id="rId41" Type="http://schemas.openxmlformats.org/officeDocument/2006/relationships/hyperlink" Target="https://doi.org/10.48550/arXiv.2005.14165" TargetMode="External"/><Relationship Id="rId44" Type="http://schemas.openxmlformats.org/officeDocument/2006/relationships/hyperlink" Target="https://doi.org/10.48550/arXiv.2107.03374" TargetMode="External"/><Relationship Id="rId43" Type="http://schemas.openxmlformats.org/officeDocument/2006/relationships/hyperlink" Target="https://doi.org/10.48550/arXiv.2107.03374" TargetMode="External"/><Relationship Id="rId46" Type="http://schemas.openxmlformats.org/officeDocument/2006/relationships/hyperlink" Target="https://doi.org/10.1145/3695988" TargetMode="External"/><Relationship Id="rId45" Type="http://schemas.openxmlformats.org/officeDocument/2006/relationships/hyperlink" Target="https://doi.org/10.1145/36959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hyperlink" Target="https://doi.org/10.1109/SEQUEN.1997.666900" TargetMode="External"/><Relationship Id="rId47" Type="http://schemas.openxmlformats.org/officeDocument/2006/relationships/hyperlink" Target="https://doi.org/10.1109/SEQUEN.1997.666900" TargetMode="External"/><Relationship Id="rId49" Type="http://schemas.openxmlformats.org/officeDocument/2006/relationships/hyperlink" Target="https://doi.org/10.1145/2884781.2884877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9.png"/><Relationship Id="rId31" Type="http://schemas.openxmlformats.org/officeDocument/2006/relationships/hyperlink" Target="https://doi.org/10.1145/581339.581401" TargetMode="External"/><Relationship Id="rId30" Type="http://schemas.openxmlformats.org/officeDocument/2006/relationships/hyperlink" Target="https://doi.org/10.1109/MSR.2013.6624034" TargetMode="External"/><Relationship Id="rId33" Type="http://schemas.openxmlformats.org/officeDocument/2006/relationships/hyperlink" Target="https://doi.org/10.1109/ICSE43902.2021.00094" TargetMode="External"/><Relationship Id="rId32" Type="http://schemas.openxmlformats.org/officeDocument/2006/relationships/hyperlink" Target="https://doi.org/10.1145/581339.581401" TargetMode="External"/><Relationship Id="rId35" Type="http://schemas.openxmlformats.org/officeDocument/2006/relationships/hyperlink" Target="https://doi.org/10.1109/ICSE.2012.6227135" TargetMode="External"/><Relationship Id="rId34" Type="http://schemas.openxmlformats.org/officeDocument/2006/relationships/hyperlink" Target="https://doi.org/10.1109/ICSE43902.2021.00094" TargetMode="External"/><Relationship Id="rId37" Type="http://schemas.openxmlformats.org/officeDocument/2006/relationships/hyperlink" Target="https://doi.org/10.1145/3212695" TargetMode="External"/><Relationship Id="rId36" Type="http://schemas.openxmlformats.org/officeDocument/2006/relationships/hyperlink" Target="https://doi.org/10.1109/ICSE.2012.6227135" TargetMode="External"/><Relationship Id="rId39" Type="http://schemas.openxmlformats.org/officeDocument/2006/relationships/hyperlink" Target="https://doi.org/10.48550/arXiv.1706.03762" TargetMode="External"/><Relationship Id="rId38" Type="http://schemas.openxmlformats.org/officeDocument/2006/relationships/hyperlink" Target="https://doi.org/10.1145/3212695" TargetMode="External"/><Relationship Id="rId20" Type="http://schemas.openxmlformats.org/officeDocument/2006/relationships/image" Target="media/image6.png"/><Relationship Id="rId22" Type="http://schemas.openxmlformats.org/officeDocument/2006/relationships/image" Target="media/image26.png"/><Relationship Id="rId21" Type="http://schemas.openxmlformats.org/officeDocument/2006/relationships/image" Target="media/image28.png"/><Relationship Id="rId24" Type="http://schemas.openxmlformats.org/officeDocument/2006/relationships/image" Target="media/image22.png"/><Relationship Id="rId23" Type="http://schemas.openxmlformats.org/officeDocument/2006/relationships/image" Target="media/image14.png"/><Relationship Id="rId26" Type="http://schemas.openxmlformats.org/officeDocument/2006/relationships/image" Target="media/image21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27.png"/><Relationship Id="rId29" Type="http://schemas.openxmlformats.org/officeDocument/2006/relationships/hyperlink" Target="https://doi.org/10.1109/MSR.2013.6624034" TargetMode="External"/><Relationship Id="rId51" Type="http://schemas.openxmlformats.org/officeDocument/2006/relationships/hyperlink" Target="https://doi.org/10.1016/j.scico.2009.02.007" TargetMode="External"/><Relationship Id="rId50" Type="http://schemas.openxmlformats.org/officeDocument/2006/relationships/hyperlink" Target="https://doi.org/10.1145/2884781.2884877" TargetMode="External"/><Relationship Id="rId53" Type="http://schemas.openxmlformats.org/officeDocument/2006/relationships/hyperlink" Target="https://doi.org/10.1145/3133908" TargetMode="External"/><Relationship Id="rId52" Type="http://schemas.openxmlformats.org/officeDocument/2006/relationships/hyperlink" Target="https://doi.org/10.1016/j.scico.2009.02.007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24.png"/><Relationship Id="rId54" Type="http://schemas.openxmlformats.org/officeDocument/2006/relationships/hyperlink" Target="https://doi.org/10.1145/3133908" TargetMode="External"/><Relationship Id="rId13" Type="http://schemas.openxmlformats.org/officeDocument/2006/relationships/image" Target="media/image18.png"/><Relationship Id="rId12" Type="http://schemas.openxmlformats.org/officeDocument/2006/relationships/image" Target="media/image29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25.png"/><Relationship Id="rId19" Type="http://schemas.openxmlformats.org/officeDocument/2006/relationships/image" Target="media/image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