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263EDD">
      <w:pPr>
        <w:pStyle w:val="253"/>
        <w:bidi w:val="0"/>
        <w:rPr>
          <w:rFonts w:hint="default"/>
          <w:lang w:val="vi-VN"/>
        </w:rPr>
      </w:pPr>
      <w:r>
        <w:rPr>
          <w:rFonts w:hint="default"/>
          <w:lang w:val="vi-VN"/>
        </w:rPr>
        <w:t xml:space="preserve">Link: </w:t>
      </w:r>
      <w:r>
        <w:rPr>
          <w:rFonts w:hint="default"/>
          <w:lang w:val="vi-VN"/>
        </w:rPr>
        <w:fldChar w:fldCharType="begin"/>
      </w:r>
      <w:r>
        <w:rPr>
          <w:rFonts w:hint="default"/>
          <w:lang w:val="vi-VN"/>
        </w:rPr>
        <w:instrText xml:space="preserve"> HYPERLINK "https://link.springer.com/article/10.1186/s13677-023-00479-7" </w:instrText>
      </w:r>
      <w:r>
        <w:rPr>
          <w:rFonts w:hint="default"/>
          <w:lang w:val="vi-VN"/>
        </w:rPr>
        <w:fldChar w:fldCharType="separate"/>
      </w:r>
      <w:r>
        <w:rPr>
          <w:rStyle w:val="51"/>
          <w:rFonts w:hint="default"/>
          <w:lang w:val="vi-VN"/>
        </w:rPr>
        <w:t>https://link.springer.com/article/10.1186/s13677-023-00479-7</w:t>
      </w:r>
      <w:r>
        <w:rPr>
          <w:rFonts w:hint="default"/>
          <w:lang w:val="vi-VN"/>
        </w:rPr>
        <w:fldChar w:fldCharType="end"/>
      </w:r>
    </w:p>
    <w:p w14:paraId="1FC3760C">
      <w:pPr>
        <w:pStyle w:val="249"/>
        <w:bidi w:val="0"/>
      </w:pPr>
      <w:r>
        <w:rPr>
          <w:rFonts w:hint="default"/>
          <w:lang w:val="vi-VN"/>
        </w:rPr>
        <w:t xml:space="preserve">Report: </w:t>
      </w:r>
      <w:r>
        <w:t>An In-depth Analysis and Evaluation of "A truthful dynamic combinatorial double auction model for cloud resource allocation" for Online Auction Projects</w:t>
      </w:r>
    </w:p>
    <w:p w14:paraId="1712A420">
      <w:pPr>
        <w:pStyle w:val="249"/>
        <w:bidi w:val="0"/>
      </w:pPr>
      <w:r>
        <w:rPr>
          <w:rFonts w:hint="default"/>
          <w:lang w:val="en-US" w:eastAsia="zh-CN"/>
        </w:rPr>
        <w:t>1. Analysis of the Paper's Core Concepts</w:t>
      </w:r>
    </w:p>
    <w:p w14:paraId="507A5FA8">
      <w:pPr>
        <w:pStyle w:val="253"/>
        <w:bidi w:val="0"/>
      </w:pPr>
      <w:r>
        <w:rPr>
          <w:lang w:val="en-US" w:eastAsia="zh-CN"/>
        </w:rPr>
        <w:t>Instead of a traditional auction model (one seller - multiple buyers), this paper designs a Truthful Dynamic Combinatorial Double Auction (TDCDA) system with the following outstanding features:</w:t>
      </w:r>
    </w:p>
    <w:p w14:paraId="66413D2A">
      <w:pPr>
        <w:pStyle w:val="253"/>
        <w:numPr>
          <w:ilvl w:val="0"/>
          <w:numId w:val="12"/>
        </w:numPr>
        <w:bidi w:val="0"/>
        <w:ind w:left="283" w:leftChars="0" w:hanging="283" w:firstLineChars="0"/>
      </w:pPr>
      <w:r>
        <w:t>Double Auction:</w:t>
      </w:r>
      <w:r>
        <w:rPr>
          <w:rFonts w:hint="default"/>
        </w:rPr>
        <w:t xml:space="preserve"> The platform allows both buyers and sellers to submit bids and asks independently. Participants compete and constrain each other to maximize personal benefits, creating a decentralized free market.</w:t>
      </w:r>
    </w:p>
    <w:p w14:paraId="272C264D">
      <w:pPr>
        <w:pStyle w:val="253"/>
        <w:numPr>
          <w:ilvl w:val="0"/>
          <w:numId w:val="12"/>
        </w:numPr>
        <w:bidi w:val="0"/>
        <w:ind w:left="283" w:leftChars="0" w:hanging="283" w:firstLineChars="0"/>
      </w:pPr>
      <w:r>
        <w:rPr>
          <w:rFonts w:hint="default"/>
        </w:rPr>
        <w:t>Combinatorial Bidding: Buyers do not just bid on isolated items; they can place a bid on a bundle or combination of items/resources at once. The transaction is only successful if they receive the entire package (single-minded). This accurately reflects complex user demands and increases economic allocation efficiency.</w:t>
      </w:r>
    </w:p>
    <w:p w14:paraId="04EA8241">
      <w:pPr>
        <w:pStyle w:val="253"/>
        <w:numPr>
          <w:ilvl w:val="0"/>
          <w:numId w:val="12"/>
        </w:numPr>
        <w:bidi w:val="0"/>
        <w:ind w:left="283" w:leftChars="0" w:hanging="283" w:firstLineChars="0"/>
      </w:pPr>
      <w:r>
        <w:rPr>
          <w:rFonts w:hint="default"/>
        </w:rPr>
        <w:t>Dual Truthfulness (Incentive Compatibility): This is the brightest spot of the paper. In regular auctions, participants tend to misreport their valuations (sellers ask too high, buyers bid too low) to manipulate the market for profit. The authors designed a smart payment mechanism ensuring that "truthful bidding" (revealing true valuations) is the dominant and most profitable strategy for all participants (both buyers and sellers).</w:t>
      </w:r>
    </w:p>
    <w:p w14:paraId="3E134B81">
      <w:pPr>
        <w:pStyle w:val="253"/>
        <w:numPr>
          <w:ilvl w:val="0"/>
          <w:numId w:val="12"/>
        </w:numPr>
        <w:bidi w:val="0"/>
        <w:ind w:left="283" w:leftChars="0" w:hanging="283" w:firstLineChars="0"/>
      </w:pPr>
      <w:r>
        <w:rPr>
          <w:rFonts w:hint="default"/>
        </w:rPr>
        <w:t>Solving the WDP using a Greedy Mechanism: Calculating optimal pairings in combinatorial auctions is a highly complex mathematical problem (NP-hard). The authors utilize a greedy algorithm via a "bid density" index—which evaluates the price relative to the scarcity of the product—to sort and prioritize high-paying buyers and low-asking sellers. This reduces the computational complexity to polynomial time, allowing for extremely fast processing.</w:t>
      </w:r>
    </w:p>
    <w:p w14:paraId="713889CF">
      <w:pPr>
        <w:pStyle w:val="249"/>
        <w:bidi w:val="0"/>
        <w:rPr>
          <w:rFonts w:hint="default"/>
        </w:rPr>
      </w:pPr>
      <w:r>
        <w:rPr>
          <w:rFonts w:hint="default"/>
          <w:lang w:val="en-US" w:eastAsia="zh-CN"/>
        </w:rPr>
        <w:t>2. Evaluation of Model Efficiency</w:t>
      </w:r>
    </w:p>
    <w:p w14:paraId="5D1CFE2A">
      <w:pPr>
        <w:pStyle w:val="253"/>
        <w:bidi w:val="0"/>
      </w:pPr>
      <w:r>
        <w:rPr>
          <w:lang w:val="en-US" w:eastAsia="zh-CN"/>
        </w:rPr>
        <w:t>The simulation results comparing the TDCDA model with the Average price Combinatorial Double Auction (ACDA) model demonstrate its superiority in multiple aspects:</w:t>
      </w:r>
    </w:p>
    <w:p w14:paraId="4AA40E3B">
      <w:pPr>
        <w:pStyle w:val="253"/>
        <w:numPr>
          <w:ilvl w:val="0"/>
          <w:numId w:val="12"/>
        </w:numPr>
        <w:bidi w:val="0"/>
        <w:ind w:left="283" w:leftChars="0" w:hanging="283" w:firstLineChars="0"/>
      </w:pPr>
      <w:r>
        <w:rPr>
          <w:rFonts w:hint="default"/>
        </w:rPr>
        <w:t>Increasing Social Welfare: The system increases overall social welfare (the total utility of all parties) by up to 30% compared to using an average pricing mechanism. Because everyone bids truthfully, the system doesn't miss out on the most profitable trades.</w:t>
      </w:r>
    </w:p>
    <w:p w14:paraId="685E2752">
      <w:pPr>
        <w:pStyle w:val="253"/>
        <w:numPr>
          <w:ilvl w:val="0"/>
          <w:numId w:val="12"/>
        </w:numPr>
        <w:bidi w:val="0"/>
        <w:ind w:left="283" w:leftChars="0" w:hanging="283" w:firstLineChars="0"/>
      </w:pPr>
      <w:r>
        <w:rPr>
          <w:rFonts w:hint="default"/>
        </w:rPr>
        <w:t>Protecting User Success Rates: The model improves the request success rate for buyers by up to 20% and boosts the transaction success rate for sellers by 50%.</w:t>
      </w:r>
    </w:p>
    <w:p w14:paraId="104E516B">
      <w:pPr>
        <w:pStyle w:val="253"/>
        <w:numPr>
          <w:ilvl w:val="0"/>
          <w:numId w:val="12"/>
        </w:numPr>
        <w:bidi w:val="0"/>
        <w:ind w:left="283" w:leftChars="0" w:hanging="283" w:firstLineChars="0"/>
      </w:pPr>
      <w:r>
        <w:rPr>
          <w:rFonts w:hint="default"/>
        </w:rPr>
        <w:t>Market Integrity: The model guarantees Individual Rationality (no one suffers a loss; utility is always greater than or equal to zero) and Budget-balance (the auctioneer/platform operator does not run a deficit).</w:t>
      </w:r>
    </w:p>
    <w:p w14:paraId="52A8314C">
      <w:pPr>
        <w:pStyle w:val="249"/>
        <w:bidi w:val="0"/>
        <w:rPr>
          <w:rFonts w:hint="default"/>
        </w:rPr>
      </w:pPr>
      <w:r>
        <w:rPr>
          <w:rFonts w:hint="default"/>
          <w:lang w:val="en-US" w:eastAsia="zh-CN"/>
        </w:rPr>
        <w:t>3. RBL (Research-Based Learning) Lessons for your Online Auction Project</w:t>
      </w:r>
    </w:p>
    <w:p w14:paraId="69C70815">
      <w:pPr>
        <w:pStyle w:val="253"/>
        <w:bidi w:val="0"/>
      </w:pPr>
      <w:r>
        <w:rPr>
          <w:lang w:val="en-US" w:eastAsia="zh-CN"/>
        </w:rPr>
        <w:t>A. Design a "Combo/Combinatorial Bidding" Feature: If your project sells related items (e.g., cameras and lenses, or gaming setups), allow buyers to place an "all-or-nothing" bid. Customers offer a single price for the entire combo. Your algorithm will then attempt to match this with various sellers to fulfill that specific bundle.</w:t>
      </w:r>
    </w:p>
    <w:p w14:paraId="22864BED">
      <w:pPr>
        <w:pStyle w:val="253"/>
        <w:bidi w:val="0"/>
      </w:pPr>
      <w:r>
        <w:rPr>
          <w:lang w:val="en-US" w:eastAsia="zh-CN"/>
        </w:rPr>
        <w:t>B. Do Not Use "Average Pricing" for Double Trades: Many platforms, when facing a buyer bidding $10 and a seller asking $8, automatically close the transaction at $9 (the average). However, the paper points out that mathematically, average pricing is not a truthful mechanism (it cannot prevent fraud). Customers will learn to intentionally misreport prices to pull the average in their favor. Your team should research the Vickrey-Clarke-Groves (VCG) mechanism or the marginal/next-price closing methods described in the paper to create a truly fair exchange platform.</w:t>
      </w:r>
    </w:p>
    <w:p w14:paraId="0DE11169">
      <w:pPr>
        <w:pStyle w:val="253"/>
        <w:bidi w:val="0"/>
      </w:pPr>
      <w:r>
        <w:rPr>
          <w:lang w:val="en-US" w:eastAsia="zh-CN"/>
        </w:rPr>
        <w:t>C. Apply "Bid Density" for Scalabi</w:t>
      </w:r>
      <w:bookmarkStart w:id="0" w:name="_GoBack"/>
      <w:bookmarkEnd w:id="0"/>
      <w:r>
        <w:rPr>
          <w:lang w:val="en-US" w:eastAsia="zh-CN"/>
        </w:rPr>
        <w:t>lity: When your online exchange has thousands of users, cross-comparing every buy/sell order will crash your servers (due to NP-hard complexity). Instead, program your system to automatically score each bid/ask using a fractional formula (e.g., Bid amount divided by the rarity or quantity of the product). Then, sort buyers in descending order and sellers in ascending order to prioritize matching. This maximizes server resource savings while delivering near-perfect allocation efficiency.</w:t>
      </w:r>
    </w:p>
    <w:p w14:paraId="509C8A16">
      <w:pPr>
        <w:pStyle w:val="253"/>
        <w:bidi w:val="0"/>
        <w:rPr>
          <w:rFonts w:hint="default"/>
          <w:lang w:val="vi-VN"/>
        </w:rPr>
      </w:pPr>
    </w:p>
    <w:p w14:paraId="759BB963">
      <w:pPr>
        <w:pStyle w:val="253"/>
        <w:bidi w:val="0"/>
      </w:pPr>
    </w:p>
    <w:p w14:paraId="2889E252">
      <w:pPr>
        <w:pStyle w:val="253"/>
        <w:bidi w:val="0"/>
      </w:pPr>
    </w:p>
    <w:p w14:paraId="39FED30A">
      <w:pPr>
        <w:pStyle w:val="253"/>
        <w:bidi w:val="0"/>
      </w:pPr>
    </w:p>
    <w:p w14:paraId="66C959FD">
      <w:pPr>
        <w:pStyle w:val="253"/>
        <w:bidi w:val="0"/>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Noto Sans">
    <w:panose1 w:val="020B0502040504020204"/>
    <w:charset w:val="00"/>
    <w:family w:val="auto"/>
    <w:pitch w:val="default"/>
    <w:sig w:usb0="E00002FF" w:usb1="4000201F" w:usb2="08000029" w:usb3="00100000" w:csb0="0000019F" w:csb1="00000000"/>
  </w:font>
  <w:font w:name="Noto Sans Black">
    <w:panose1 w:val="020B0502040504020204"/>
    <w:charset w:val="00"/>
    <w:family w:val="auto"/>
    <w:pitch w:val="default"/>
    <w:sig w:usb0="E00002FF" w:usb1="4000201F" w:usb2="08000029" w:usb3="00100000" w:csb0="0000019F"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Google Sans Tex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1rem / 1.5rem google sans text">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FC4978"/>
    <w:multiLevelType w:val="multilevel"/>
    <w:tmpl w:val="A5FC4978"/>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pStyle w:val="250"/>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1">
    <w:nsid w:val="37248453"/>
    <w:multiLevelType w:val="singleLevel"/>
    <w:tmpl w:val="37248453"/>
    <w:lvl w:ilvl="0" w:tentative="0">
      <w:start w:val="1"/>
      <w:numFmt w:val="bullet"/>
      <w:lvlText w:val=""/>
      <w:lvlJc w:val="left"/>
      <w:pPr>
        <w:tabs>
          <w:tab w:val="left" w:pos="420"/>
        </w:tabs>
        <w:ind w:left="283" w:leftChars="0" w:hanging="283" w:firstLineChars="0"/>
      </w:pPr>
      <w:rPr>
        <w:rFonts w:hint="default" w:ascii="Wingdings" w:hAnsi="Wingdings" w:cs="等线"/>
        <w:sz w:val="16"/>
        <w:szCs w:val="14"/>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E80D3A"/>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8754239"/>
    <w:rsid w:val="1F5E444B"/>
    <w:rsid w:val="39F82BB7"/>
    <w:rsid w:val="60B7632C"/>
    <w:rsid w:val="62F34354"/>
    <w:rsid w:val="6AE80D3A"/>
    <w:rsid w:val="6E41433A"/>
    <w:rsid w:val="732B140E"/>
    <w:rsid w:val="74723C9A"/>
    <w:rsid w:val="79AB5C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qFormat="1" w:unhideWhenUsed="0" w:uiPriority="0" w:semiHidden="0" w:name="line number"/>
    <w:lsdException w:qFormat="1" w:unhideWhenUsed="0" w:uiPriority="0" w:semiHidden="0" w:name="page number"/>
    <w:lsdException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uiPriority w:val="0"/>
    <w:rPr>
      <w:sz w:val="21"/>
      <w:szCs w:val="21"/>
    </w:rPr>
  </w:style>
  <w:style w:type="paragraph" w:styleId="26">
    <w:name w:val="annotation text"/>
    <w:basedOn w:val="1"/>
    <w:uiPriority w:val="0"/>
    <w:pPr>
      <w:jc w:val="left"/>
    </w:pPr>
  </w:style>
  <w:style w:type="paragraph" w:styleId="27">
    <w:name w:val="annotation subject"/>
    <w:basedOn w:val="26"/>
    <w:next w:val="26"/>
    <w:qFormat/>
    <w:uiPriority w:val="0"/>
    <w:rPr>
      <w:b/>
      <w:bCs/>
    </w:rPr>
  </w:style>
  <w:style w:type="paragraph" w:styleId="28">
    <w:name w:val="Date"/>
    <w:basedOn w:val="1"/>
    <w:next w:val="1"/>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Tiêu đề 1."/>
    <w:basedOn w:val="1"/>
    <w:qFormat/>
    <w:uiPriority w:val="0"/>
    <w:pPr>
      <w:spacing w:before="150" w:beforeLines="150" w:after="150" w:afterLines="150"/>
    </w:pPr>
    <w:rPr>
      <w:rFonts w:ascii="Times New Roman" w:hAnsi="Times New Roman" w:cs="Times New Roman"/>
      <w:b/>
      <w:sz w:val="28"/>
      <w:szCs w:val="22"/>
      <w:lang w:val="vi-VN"/>
    </w:rPr>
  </w:style>
  <w:style w:type="paragraph" w:customStyle="1" w:styleId="250">
    <w:name w:val="Tiêu đề 1.1."/>
    <w:basedOn w:val="1"/>
    <w:next w:val="1"/>
    <w:qFormat/>
    <w:uiPriority w:val="0"/>
    <w:pPr>
      <w:keepNext/>
      <w:keepLines/>
      <w:numPr>
        <w:ilvl w:val="1"/>
        <w:numId w:val="11"/>
      </w:numPr>
      <w:spacing w:before="100" w:after="100" w:line="360" w:lineRule="auto"/>
      <w:outlineLvl w:val="1"/>
    </w:pPr>
    <w:rPr>
      <w:rFonts w:ascii="Times New Roman" w:hAnsi="Times New Roman" w:eastAsia="SimSun" w:cs="Times New Roman"/>
      <w:b/>
      <w:bCs/>
      <w:sz w:val="26"/>
      <w:szCs w:val="24"/>
    </w:rPr>
  </w:style>
  <w:style w:type="paragraph" w:customStyle="1" w:styleId="251">
    <w:name w:val="Paragraph"/>
    <w:basedOn w:val="1"/>
    <w:qFormat/>
    <w:uiPriority w:val="0"/>
    <w:pPr>
      <w:spacing w:before="50" w:beforeLines="50" w:after="50" w:afterLines="50"/>
    </w:pPr>
    <w:rPr>
      <w:rFonts w:ascii="Times New Roman" w:hAnsi="Times New Roman" w:cs="Times New Roman"/>
      <w:sz w:val="24"/>
      <w:szCs w:val="22"/>
    </w:rPr>
  </w:style>
  <w:style w:type="paragraph" w:customStyle="1" w:styleId="252">
    <w:name w:val="anh"/>
    <w:basedOn w:val="1"/>
    <w:qFormat/>
    <w:uiPriority w:val="0"/>
    <w:pPr>
      <w:spacing w:before="50" w:beforeLines="50" w:after="50" w:afterLines="50"/>
      <w:jc w:val="center"/>
    </w:pPr>
    <w:rPr>
      <w:rFonts w:ascii="Times New Roman" w:hAnsi="Times New Roman" w:cs="Times New Roman"/>
      <w:sz w:val="24"/>
      <w:szCs w:val="22"/>
      <w:lang w:val="vi-VN"/>
    </w:rPr>
  </w:style>
  <w:style w:type="paragraph" w:customStyle="1" w:styleId="253">
    <w:name w:val="Doan Van"/>
    <w:basedOn w:val="1"/>
    <w:next w:val="1"/>
    <w:qFormat/>
    <w:uiPriority w:val="0"/>
    <w:pPr>
      <w:spacing w:after="100" w:line="276" w:lineRule="auto"/>
      <w:ind w:firstLine="0"/>
    </w:pPr>
    <w:rPr>
      <w:rFonts w:ascii="Times New Roman" w:hAnsi="Times New Roman" w:eastAsia="SimSun" w:cs="SimSun"/>
      <w:bCs/>
      <w:sz w:val="24"/>
      <w:szCs w:val="24"/>
    </w:rPr>
  </w:style>
  <w:style w:type="paragraph" w:customStyle="1" w:styleId="254">
    <w:name w:val="heading 1 noto"/>
    <w:basedOn w:val="2"/>
    <w:next w:val="1"/>
    <w:qFormat/>
    <w:uiPriority w:val="0"/>
    <w:pPr>
      <w:pBdr>
        <w:bottom w:val="single" w:color="auto" w:sz="4" w:space="0"/>
      </w:pBdr>
      <w:spacing w:before="360" w:after="120" w:line="288" w:lineRule="auto"/>
    </w:pPr>
    <w:rPr>
      <w:rFonts w:ascii="Noto Sans" w:hAnsi="Noto Sans" w:eastAsia="Noto Sans Black" w:cs="Noto Sans"/>
      <w:color w:val="000000"/>
      <w:sz w:val="36"/>
      <w:szCs w:val="36"/>
      <w:lang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152</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2026-05-26T00:27:00Z</dcterms:created>
  <dc:creator>Tuấn Hoàng</dc:creator>
  <cp:lastModifiedBy>Tuấn Hoàng</cp:lastModifiedBy>
  <dcterms:modified xsi:type="dcterms:W3CDTF">2026-05-26T00:34:45Z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5126A3C54C9F42F688CC50CBC39B3873_11</vt:lpwstr>
  </property>
</Properties>
</file>