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63EDD">
      <w:pPr>
        <w:pStyle w:val="253"/>
        <w:bidi w:val="0"/>
        <w:rPr>
          <w:rFonts w:hint="default"/>
          <w:lang w:val="vi-VN"/>
        </w:rPr>
      </w:pPr>
      <w:r>
        <w:rPr>
          <w:rFonts w:hint="default"/>
          <w:lang w:val="vi-VN"/>
        </w:rPr>
        <w:t>Link: https://link.springer.com/article/10.1186/s13677-024-00626-8</w:t>
      </w:r>
    </w:p>
    <w:p w14:paraId="7705859D">
      <w:pPr>
        <w:pStyle w:val="249"/>
        <w:bidi w:val="0"/>
        <w:rPr>
          <w:rFonts w:hint="default"/>
          <w:lang w:val="vi-VN"/>
        </w:rPr>
      </w:pPr>
      <w:r>
        <w:rPr>
          <w:rFonts w:hint="default"/>
          <w:lang w:val="vi-VN"/>
        </w:rPr>
        <w:t xml:space="preserve">Report: </w:t>
      </w:r>
      <w:r>
        <w:t>Evaluation of the Paper from an Application Perspective for an Online Auction Project</w:t>
      </w:r>
    </w:p>
    <w:p w14:paraId="4ADEC51B">
      <w:pPr>
        <w:pStyle w:val="249"/>
        <w:bidi w:val="0"/>
      </w:pPr>
      <w:r>
        <w:rPr>
          <w:rFonts w:hint="default"/>
          <w:lang w:val="en-US" w:eastAsia="zh-CN"/>
        </w:rPr>
        <w:t>1. Analysis of the "Invisible Auction" Framework</w:t>
      </w:r>
    </w:p>
    <w:p w14:paraId="0C149DDA">
      <w:pPr>
        <w:pStyle w:val="253"/>
        <w:bidi w:val="0"/>
      </w:pPr>
      <w:r>
        <w:rPr>
          <w:lang w:val="en-US" w:eastAsia="zh-CN"/>
        </w:rPr>
        <w:t>The paper indicates that traditional auction systems often face risks of information asymmetry, unfair arbitrage, and speculative manipulation that do not align with the actual assets. To resolve this, the authors built an invisible auction model consisting of four core components that your team can refer to:</w:t>
      </w:r>
    </w:p>
    <w:p w14:paraId="150E5065">
      <w:pPr>
        <w:pStyle w:val="253"/>
        <w:numPr>
          <w:ilvl w:val="0"/>
          <w:numId w:val="12"/>
        </w:numPr>
        <w:bidi w:val="0"/>
        <w:ind w:left="262" w:leftChars="0" w:hanging="262" w:firstLineChars="0"/>
      </w:pPr>
      <w:r>
        <w:t>Bid encryption:</w:t>
      </w:r>
      <w:r>
        <w:rPr>
          <w:rFonts w:hint="default"/>
        </w:rPr>
        <w:t xml:space="preserve"> Instead of publicly displaying ask or bid quotes, the system uses homomorphic public-key cryptography to encrypt the bid values. This helps protect the privacy and pricing strategies of participants.</w:t>
      </w:r>
    </w:p>
    <w:p w14:paraId="0D2301C1">
      <w:pPr>
        <w:pStyle w:val="253"/>
        <w:numPr>
          <w:ilvl w:val="0"/>
          <w:numId w:val="12"/>
        </w:numPr>
        <w:bidi w:val="0"/>
        <w:ind w:left="262" w:leftChars="0" w:hanging="262" w:firstLineChars="0"/>
      </w:pPr>
      <w:r>
        <w:rPr>
          <w:rFonts w:hint="default"/>
        </w:rPr>
        <w:t>Smart Order matching: Even though the prices are encrypted, the system's auction algorithm can still compare and match orders between buyers and sellers automatically. This mechanism maintains the advantages of the continuous double auction model, which allocates efficiently, fairly, and anonymously.</w:t>
      </w:r>
    </w:p>
    <w:p w14:paraId="4B1DC277">
      <w:pPr>
        <w:pStyle w:val="253"/>
        <w:numPr>
          <w:ilvl w:val="0"/>
          <w:numId w:val="12"/>
        </w:numPr>
        <w:bidi w:val="0"/>
        <w:ind w:left="262" w:leftChars="0" w:hanging="262" w:firstLineChars="0"/>
      </w:pPr>
      <w:r>
        <w:rPr>
          <w:rFonts w:hint="default"/>
        </w:rPr>
        <w:t>Transaction logging with a Distributed Ledger: All historically successful transactions are transparently recorded on an immutable distributed ledger chain. This ensures absolute transparency, automatically flags violations to promote accountability, and helps users feel secure when trading.</w:t>
      </w:r>
    </w:p>
    <w:p w14:paraId="251DE39C">
      <w:pPr>
        <w:pStyle w:val="253"/>
        <w:numPr>
          <w:ilvl w:val="0"/>
          <w:numId w:val="12"/>
        </w:numPr>
        <w:bidi w:val="0"/>
        <w:ind w:left="262" w:leftChars="0" w:hanging="262" w:firstLineChars="0"/>
      </w:pPr>
      <w:r>
        <w:rPr>
          <w:rFonts w:hint="default"/>
        </w:rPr>
        <w:t>Predictive analytics integration: The system uses Long short-term memory (LSTM) neural networks trained on transaction data flows to forecast long-term price dynamics and demand. This combination helps orient the market, moderating real-time irrational biases or panic buying/selling decisions.</w:t>
      </w:r>
    </w:p>
    <w:p w14:paraId="0DCA1D03">
      <w:pPr>
        <w:pStyle w:val="249"/>
        <w:bidi w:val="0"/>
        <w:rPr>
          <w:rFonts w:hint="default"/>
        </w:rPr>
      </w:pPr>
      <w:r>
        <w:rPr>
          <w:rFonts w:hint="default"/>
          <w:lang w:val="en-US" w:eastAsia="zh-CN"/>
        </w:rPr>
        <w:t>2. Automating workflows with Smart Contracts</w:t>
      </w:r>
    </w:p>
    <w:p w14:paraId="181BCE3D">
      <w:pPr>
        <w:pStyle w:val="253"/>
        <w:bidi w:val="0"/>
      </w:pPr>
      <w:r>
        <w:rPr>
          <w:lang w:val="en-US" w:eastAsia="zh-CN"/>
        </w:rPr>
        <w:t>Another major lesson for an online auction project is the application of self-enforcing smart contracts over blockchain networks.</w:t>
      </w:r>
    </w:p>
    <w:p w14:paraId="7968361E">
      <w:pPr>
        <w:pStyle w:val="253"/>
        <w:numPr>
          <w:ilvl w:val="0"/>
          <w:numId w:val="13"/>
        </w:numPr>
        <w:bidi w:val="0"/>
        <w:ind w:left="283" w:leftChars="0" w:hanging="283" w:firstLineChars="0"/>
      </w:pPr>
      <w:r>
        <w:rPr>
          <w:rFonts w:hint="default"/>
        </w:rPr>
        <w:t>Encoding business rules: Instead of relying on humans, payment terms, quality checks, and logistics flows are encoded into automated business rules.</w:t>
      </w:r>
    </w:p>
    <w:p w14:paraId="44DF483F">
      <w:pPr>
        <w:pStyle w:val="253"/>
        <w:numPr>
          <w:ilvl w:val="0"/>
          <w:numId w:val="13"/>
        </w:numPr>
        <w:bidi w:val="0"/>
        <w:ind w:left="283" w:leftChars="0" w:hanging="283" w:firstLineChars="0"/>
      </w:pPr>
      <w:r>
        <w:rPr>
          <w:rFonts w:hint="default"/>
        </w:rPr>
        <w:t>Exception handling: Smart contracts integrate built-in exception handling mechanisms, such as automatically deducting penalties if a party violates commitments, which improves the accountability of the involved parties.</w:t>
      </w:r>
    </w:p>
    <w:p w14:paraId="0E095165">
      <w:pPr>
        <w:pStyle w:val="249"/>
        <w:bidi w:val="0"/>
        <w:rPr>
          <w:rFonts w:hint="default"/>
        </w:rPr>
      </w:pPr>
      <w:r>
        <w:rPr>
          <w:rFonts w:hint="default"/>
          <w:lang w:val="en-US" w:eastAsia="zh-CN"/>
        </w:rPr>
        <w:t>3. Evaluating the practical efficiency of the auction mechanism</w:t>
      </w:r>
    </w:p>
    <w:p w14:paraId="0E513995">
      <w:pPr>
        <w:pStyle w:val="253"/>
        <w:bidi w:val="0"/>
      </w:pPr>
      <w:r>
        <w:rPr>
          <w:lang w:val="en-US" w:eastAsia="zh-CN"/>
        </w:rPr>
        <w:t>The experimental results on a consortium of 50 farms over five crop cycles prove that applying this transparent and automated auction mechanism brings extremely clear economic efficiency:</w:t>
      </w:r>
    </w:p>
    <w:p w14:paraId="46B7E170">
      <w:pPr>
        <w:pStyle w:val="253"/>
        <w:numPr>
          <w:ilvl w:val="0"/>
          <w:numId w:val="13"/>
        </w:numPr>
        <w:bidi w:val="0"/>
        <w:ind w:left="283" w:leftChars="0" w:hanging="283" w:firstLineChars="0"/>
      </w:pPr>
      <w:r>
        <w:rPr>
          <w:rFonts w:hint="default"/>
        </w:rPr>
        <w:t>The model helps increase the profit margin per acre by 37% compared to the current best benchmark systems (BNN).</w:t>
      </w:r>
    </w:p>
    <w:p w14:paraId="0A1AFAB8">
      <w:pPr>
        <w:pStyle w:val="253"/>
        <w:numPr>
          <w:ilvl w:val="0"/>
          <w:numId w:val="13"/>
        </w:numPr>
        <w:bidi w:val="0"/>
        <w:ind w:left="283" w:leftChars="0" w:hanging="283" w:firstLineChars="0"/>
      </w:pPr>
      <w:r>
        <w:rPr>
          <w:rFonts w:hint="default"/>
        </w:rPr>
        <w:t>Hiding bid values combined with machine learning techniques and algorithmic management helps eliminate speculative risks and protects the system from market distortions.</w:t>
      </w:r>
    </w:p>
    <w:p w14:paraId="3DCF66DB">
      <w:pPr>
        <w:pStyle w:val="253"/>
        <w:numPr>
          <w:ilvl w:val="0"/>
          <w:numId w:val="13"/>
        </w:numPr>
        <w:bidi w:val="0"/>
        <w:ind w:left="283" w:leftChars="0" w:hanging="283" w:firstLineChars="0"/>
      </w:pPr>
      <w:r>
        <w:rPr>
          <w:rFonts w:hint="default"/>
        </w:rPr>
        <w:t>Electronic trading completely eliminates the overhead transaction fees associated with intermediaries and paper-based processes, making auctions much more cost-effective.</w:t>
      </w:r>
    </w:p>
    <w:p w14:paraId="7C729A56">
      <w:pPr>
        <w:pStyle w:val="249"/>
        <w:bidi w:val="0"/>
        <w:rPr>
          <w:rFonts w:hint="default"/>
        </w:rPr>
      </w:pPr>
      <w:r>
        <w:rPr>
          <w:rFonts w:hint="default"/>
          <w:lang w:val="en-US" w:eastAsia="zh-CN"/>
        </w:rPr>
        <w:t xml:space="preserve">4. </w:t>
      </w:r>
      <w:r>
        <w:rPr>
          <w:rFonts w:hint="default"/>
          <w:lang w:val="vi-VN" w:eastAsia="zh-CN"/>
        </w:rPr>
        <w:t>A</w:t>
      </w:r>
      <w:r>
        <w:rPr>
          <w:rFonts w:hint="default"/>
          <w:lang w:val="en-US" w:eastAsia="zh-CN"/>
        </w:rPr>
        <w:t>pplying to</w:t>
      </w:r>
      <w:bookmarkStart w:id="0" w:name="_GoBack"/>
      <w:bookmarkEnd w:id="0"/>
      <w:r>
        <w:rPr>
          <w:rFonts w:hint="default"/>
          <w:lang w:val="en-US" w:eastAsia="zh-CN"/>
        </w:rPr>
        <w:t xml:space="preserve"> team's project</w:t>
      </w:r>
    </w:p>
    <w:p w14:paraId="14FA5182">
      <w:pPr>
        <w:pStyle w:val="253"/>
        <w:numPr>
          <w:ilvl w:val="0"/>
          <w:numId w:val="14"/>
        </w:numPr>
        <w:bidi w:val="0"/>
        <w:ind w:left="425" w:leftChars="0" w:hanging="425" w:firstLineChars="0"/>
      </w:pPr>
      <w:r>
        <w:rPr>
          <w:rFonts w:hint="default"/>
        </w:rPr>
        <w:t>Design an "Anonymous/Invisible Auction" feature: Consider adding a sealed-bid or invisible auction mode where users do not see each other's actual bids, and the system automatically matches orders based on encrypted data. This avoids situations where buyers intentionally inflate virtual prices or follow the crowd.</w:t>
      </w:r>
    </w:p>
    <w:p w14:paraId="5659719F">
      <w:pPr>
        <w:pStyle w:val="253"/>
        <w:numPr>
          <w:ilvl w:val="0"/>
          <w:numId w:val="14"/>
        </w:numPr>
        <w:bidi w:val="0"/>
        <w:ind w:left="425" w:leftChars="0" w:hanging="425" w:firstLineChars="0"/>
      </w:pPr>
      <w:r>
        <w:rPr>
          <w:rFonts w:hint="default"/>
        </w:rPr>
        <w:t>Apply Smart Contracts for the payment stage: To solve the problem of participants refusing to pay after winning an auction, your project can research requiring participants to lock funds via a smart contract. The money or penalties will be automatically transferred when the workflow is executed or violated.</w:t>
      </w:r>
    </w:p>
    <w:p w14:paraId="26D7D983">
      <w:pPr>
        <w:pStyle w:val="253"/>
        <w:numPr>
          <w:ilvl w:val="0"/>
          <w:numId w:val="14"/>
        </w:numPr>
        <w:bidi w:val="0"/>
        <w:ind w:left="425" w:leftChars="0" w:hanging="425" w:firstLineChars="0"/>
      </w:pPr>
      <w:r>
        <w:rPr>
          <w:rFonts w:hint="default"/>
        </w:rPr>
        <w:t>Integrate Price Discovery and Suggestion tools: Use predictive analytics models (like LSTM) to suggest reasonable starting prices based on aggregated historical transaction data, while also analyzing market trends to display for buyers' reference, reducing market volatility.</w:t>
      </w:r>
    </w:p>
    <w:p w14:paraId="71E76A2A">
      <w:pPr>
        <w:pStyle w:val="253"/>
        <w:bidi w:val="0"/>
        <w:rPr>
          <w:rFonts w:hint="default"/>
          <w:lang w:val="vi-VN"/>
        </w:rPr>
      </w:pPr>
    </w:p>
    <w:p w14:paraId="759BB963">
      <w:pPr>
        <w:pStyle w:val="253"/>
        <w:bidi w:val="0"/>
      </w:pPr>
    </w:p>
    <w:p w14:paraId="2889E252">
      <w:pPr>
        <w:pStyle w:val="253"/>
        <w:bidi w:val="0"/>
      </w:pPr>
    </w:p>
    <w:p w14:paraId="39FED30A">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18B2B"/>
    <w:multiLevelType w:val="singleLevel"/>
    <w:tmpl w:val="A3118B2B"/>
    <w:lvl w:ilvl="0" w:tentative="0">
      <w:start w:val="1"/>
      <w:numFmt w:val="decimal"/>
      <w:lvlText w:val="%1."/>
      <w:lvlJc w:val="left"/>
      <w:pPr>
        <w:tabs>
          <w:tab w:val="left" w:pos="425"/>
        </w:tabs>
        <w:ind w:left="425" w:leftChars="0" w:hanging="425" w:firstLineChars="0"/>
      </w:pPr>
      <w:rPr>
        <w:rFonts w:hint="default"/>
      </w:rPr>
    </w:lvl>
  </w:abstractNum>
  <w:abstractNum w:abstractNumId="1">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6BF1DDBA"/>
    <w:multiLevelType w:val="singleLevel"/>
    <w:tmpl w:val="6BF1DDBA"/>
    <w:lvl w:ilvl="0" w:tentative="0">
      <w:start w:val="1"/>
      <w:numFmt w:val="bullet"/>
      <w:lvlText w:val=""/>
      <w:lvlJc w:val="left"/>
      <w:pPr>
        <w:tabs>
          <w:tab w:val="left" w:pos="420"/>
        </w:tabs>
        <w:ind w:left="283" w:leftChars="0" w:hanging="283" w:firstLineChars="0"/>
      </w:pPr>
      <w:rPr>
        <w:rFonts w:hint="default" w:ascii="Wingdings" w:hAnsi="Wingdings" w:cs="Microsoft YaHei"/>
        <w:sz w:val="16"/>
        <w:szCs w:val="14"/>
      </w:rPr>
    </w:lvl>
  </w:abstractNum>
  <w:abstractNum w:abstractNumId="13">
    <w:nsid w:val="7E8AF206"/>
    <w:multiLevelType w:val="singleLevel"/>
    <w:tmpl w:val="7E8AF206"/>
    <w:lvl w:ilvl="0" w:tentative="0">
      <w:start w:val="1"/>
      <w:numFmt w:val="bullet"/>
      <w:lvlText w:val=""/>
      <w:lvlJc w:val="left"/>
      <w:pPr>
        <w:tabs>
          <w:tab w:val="left" w:pos="262"/>
        </w:tabs>
        <w:ind w:left="262" w:leftChars="0" w:hanging="262" w:firstLineChars="0"/>
      </w:pPr>
      <w:rPr>
        <w:rFonts w:hint="default" w:ascii="Wingdings" w:hAnsi="Wingdings" w:cs="等线"/>
        <w:sz w:val="15"/>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9331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BDE34C7"/>
    <w:rsid w:val="1F5E444B"/>
    <w:rsid w:val="35F16554"/>
    <w:rsid w:val="39F82BB7"/>
    <w:rsid w:val="3A204AEC"/>
    <w:rsid w:val="5BB06F68"/>
    <w:rsid w:val="5C9331EF"/>
    <w:rsid w:val="60B7632C"/>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qFormat/>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qFormat/>
    <w:uiPriority w:val="0"/>
    <w:pPr>
      <w:spacing w:before="50" w:beforeLines="50" w:after="50" w:afterLines="50"/>
    </w:pPr>
    <w:rPr>
      <w:rFonts w:ascii="Times New Roman" w:hAnsi="Times New Roman" w:cs="Times New Roman"/>
      <w:sz w:val="24"/>
      <w:szCs w:val="22"/>
    </w:rPr>
  </w:style>
  <w:style w:type="paragraph" w:customStyle="1" w:styleId="252">
    <w:name w:val="anh"/>
    <w:basedOn w:val="1"/>
    <w:qFormat/>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qFormat/>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qFormat/>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2026-05-26T00:07:00Z</dcterms:created>
  <dc:creator>Tuấn Hoàng</dc:creator>
  <cp:lastModifiedBy>Tuấn Hoàng</cp:lastModifiedBy>
  <dcterms:modified xsi:type="dcterms:W3CDTF">2026-05-26T01:36:42Z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EE9584225715400AA25192D559F89241_11</vt:lpwstr>
  </property>
</Properties>
</file>