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263EDD">
      <w:pPr>
        <w:pStyle w:val="253"/>
        <w:bidi w:val="0"/>
        <w:rPr>
          <w:rFonts w:hint="default"/>
          <w:lang w:val="vi-VN"/>
        </w:rPr>
      </w:pPr>
      <w:r>
        <w:rPr>
          <w:rFonts w:hint="default"/>
          <w:lang w:val="vi-VN"/>
        </w:rPr>
        <w:t>Link: https://link.springer.com/article/10.1186/s13677-023-00452-4</w:t>
      </w:r>
    </w:p>
    <w:p w14:paraId="759BB963">
      <w:pPr>
        <w:pStyle w:val="249"/>
        <w:bidi w:val="0"/>
      </w:pPr>
      <w:r>
        <w:rPr>
          <w:rFonts w:hint="default"/>
          <w:lang w:val="vi-VN"/>
        </w:rPr>
        <w:t xml:space="preserve">Report: </w:t>
      </w:r>
      <w:r>
        <w:t>Evaluation of the Paper from an Application Perspective for an Online Auction Project</w:t>
      </w:r>
    </w:p>
    <w:p w14:paraId="53256802">
      <w:pPr>
        <w:pStyle w:val="249"/>
        <w:bidi w:val="0"/>
      </w:pPr>
      <w:r>
        <w:rPr>
          <w:lang w:val="en-US" w:eastAsia="zh-CN"/>
        </w:rPr>
        <w:t>1. Analysis of the paper's core mechanisms</w:t>
      </w:r>
    </w:p>
    <w:p w14:paraId="44C34715">
      <w:pPr>
        <w:pStyle w:val="253"/>
        <w:numPr>
          <w:ilvl w:val="0"/>
          <w:numId w:val="12"/>
        </w:numPr>
        <w:bidi w:val="0"/>
        <w:ind w:left="283" w:leftChars="0" w:hanging="283" w:firstLineChars="0"/>
      </w:pPr>
      <w:r>
        <w:t>VCG (Vickrey-Clarke-Groves) Auction Mechanism:</w:t>
      </w:r>
      <w:r>
        <w:rPr>
          <w:rFonts w:hint="default"/>
        </w:rPr>
        <w:t xml:space="preserve"> To resolve the mismatch between supply and demand, the paper uses a VCG auction to allocate edge resources. In this model, the price paid by the winner is not their exact highest bid, but rather calculated based on the externality they impose on other participants (i.e., the utility loss of others because the winner took the resource). This algorithm achieves a Nash equilibrium, ensuring that truthful bidding is a weakly dominant and most profitable strategy for all participants.</w:t>
      </w:r>
    </w:p>
    <w:p w14:paraId="247E9127">
      <w:pPr>
        <w:pStyle w:val="253"/>
        <w:numPr>
          <w:ilvl w:val="0"/>
          <w:numId w:val="12"/>
        </w:numPr>
        <w:bidi w:val="0"/>
        <w:ind w:left="283" w:leftChars="0" w:hanging="283" w:firstLineChars="0"/>
      </w:pPr>
      <w:r>
        <w:rPr>
          <w:rFonts w:hint="default"/>
        </w:rPr>
        <w:t>Blockchain Ledger and Reputation System: To incentivize participating entities to collaborate, the system uses blockchain to maintain public, traceable, and tamper-proof transaction logs. Concurrently, each participating node has a Reputation Value (CV) which increases after successful transactions/cooperation and can be cashed out for rewards.</w:t>
      </w:r>
    </w:p>
    <w:p w14:paraId="7414A5AB">
      <w:pPr>
        <w:pStyle w:val="253"/>
        <w:numPr>
          <w:ilvl w:val="0"/>
          <w:numId w:val="12"/>
        </w:numPr>
        <w:bidi w:val="0"/>
        <w:ind w:left="283" w:leftChars="0" w:hanging="283" w:firstLineChars="0"/>
      </w:pPr>
      <w:r>
        <w:rPr>
          <w:rFonts w:hint="default"/>
        </w:rPr>
        <w:t>Anti-Monopoly and Anti-Manipulation (Forking Attack): The paper warns of the risk that if a single provider controls over 50% of the network resources, they could launch a "forking attack" to overwrite transaction history for personal gain. The authors propose solving this by setting a threshold for consecutive participation and reducing the period for redeeming reputation values.</w:t>
      </w:r>
    </w:p>
    <w:p w14:paraId="19680E77">
      <w:pPr>
        <w:pStyle w:val="249"/>
        <w:bidi w:val="0"/>
      </w:pPr>
      <w:r>
        <w:rPr>
          <w:lang w:val="en-US" w:eastAsia="zh-CN"/>
        </w:rPr>
        <w:t xml:space="preserve">2. RBL Lessons applicable </w:t>
      </w:r>
      <w:r>
        <w:rPr>
          <w:rFonts w:hint="default"/>
          <w:lang w:val="vi-VN" w:eastAsia="zh-CN"/>
        </w:rPr>
        <w:t>in</w:t>
      </w:r>
      <w:r>
        <w:rPr>
          <w:lang w:val="en-US" w:eastAsia="zh-CN"/>
        </w:rPr>
        <w:t xml:space="preserve"> Online Auction Project</w:t>
      </w:r>
    </w:p>
    <w:p w14:paraId="2D1BEC79">
      <w:pPr>
        <w:pStyle w:val="253"/>
        <w:bidi w:val="0"/>
      </w:pPr>
      <w:r>
        <w:rPr>
          <w:rFonts w:hint="default"/>
        </w:rPr>
        <w:t xml:space="preserve">A. Implement a Second-Price/VCG Auction Mechanism: In traditional online auctions (first-price auctions), buyers tend to bid lower than their true valuation or wait until the last second (sniping) to avoid overpaying. Learning from the paper, your platform could integrate a VCG or Second-Price (Vickrey) </w:t>
      </w:r>
      <w:bookmarkStart w:id="0" w:name="_GoBack"/>
      <w:bookmarkEnd w:id="0"/>
      <w:r>
        <w:rPr>
          <w:rFonts w:hint="default"/>
        </w:rPr>
        <w:t>Auction mechanism. Customers can freely input the maximum amount they are willing to pay. The algorithm will declare the highest bidder the winner, but the payment clearing price will only be equal to the second-highest bid. This entirely eliminates bidding manipulations, maximizes social welfare, and encourages users to bid their true valuation upfront.</w:t>
      </w:r>
    </w:p>
    <w:p w14:paraId="03ACB0E7">
      <w:pPr>
        <w:pStyle w:val="253"/>
        <w:bidi w:val="0"/>
      </w:pPr>
      <w:r>
        <w:rPr>
          <w:rFonts w:hint="default"/>
        </w:rPr>
        <w:t>B. Transparent Reputation Scoring System: The biggest headaches in online auctions are defaulting (winners not paying) and fraud (sellers delivering fake goods). Apply the Blockchain and Reputation mechanism from the paper. Every account should have a Reputation Value (CV) stored on an immutable ledger. Users with a high CV score could be granted privileges such as waived or reduced deposit requirements before participating, while users with low CVs are restricted.</w:t>
      </w:r>
    </w:p>
    <w:p w14:paraId="443DE49E">
      <w:pPr>
        <w:pStyle w:val="253"/>
        <w:bidi w:val="0"/>
      </w:pPr>
      <w:r>
        <w:rPr>
          <w:rFonts w:hint="default"/>
        </w:rPr>
        <w:t xml:space="preserve">C. Anti-Shill Bidding and Market Manipulation Algorithms: Similar to preventing a "Forking attack" in the paper, your project requires strict monitoring algorithms against monopolistic behaviors or price manipulation (shill bidding). You should implement software limits: an account (or accounts sharing the same IP/network provider) cannot place bids consecutively for more than </w:t>
      </w:r>
      <w:r>
        <w:t>X</w:t>
      </w:r>
      <w:r>
        <w:rPr>
          <w:rFonts w:hint="default"/>
        </w:rPr>
        <w:t xml:space="preserve"> times on a single item. This hardware/software threshold will prevent bad actors from artificially inflating prices to exploit honest buyers.</w:t>
      </w:r>
    </w:p>
    <w:p w14:paraId="478EFCCD">
      <w:pPr>
        <w:pStyle w:val="253"/>
        <w:bidi w:val="0"/>
        <w:rPr>
          <w:rFonts w:hint="default"/>
          <w:lang w:val="vi-VN"/>
        </w:rPr>
      </w:pPr>
    </w:p>
    <w:p w14:paraId="2889E252">
      <w:pPr>
        <w:pStyle w:val="253"/>
        <w:bidi w:val="0"/>
      </w:pPr>
    </w:p>
    <w:p w14:paraId="39FED30A">
      <w:pPr>
        <w:pStyle w:val="253"/>
        <w:bidi w:val="0"/>
      </w:pPr>
    </w:p>
    <w:p w14:paraId="66C959FD">
      <w:pPr>
        <w:pStyle w:val="253"/>
        <w:bidi w:val="0"/>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Noto Sans">
    <w:panose1 w:val="020B0502040504020204"/>
    <w:charset w:val="00"/>
    <w:family w:val="auto"/>
    <w:pitch w:val="default"/>
    <w:sig w:usb0="E00002FF" w:usb1="4000201F" w:usb2="08000029" w:usb3="00100000" w:csb0="0000019F" w:csb1="00000000"/>
  </w:font>
  <w:font w:name="Noto Sans Black">
    <w:panose1 w:val="020B0502040504020204"/>
    <w:charset w:val="00"/>
    <w:family w:val="auto"/>
    <w:pitch w:val="default"/>
    <w:sig w:usb0="E00002FF" w:usb1="4000201F" w:usb2="08000029" w:usb3="00100000" w:csb0="0000019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Google Sans Tex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KaTeX_Math">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FC4978"/>
    <w:multiLevelType w:val="multilevel"/>
    <w:tmpl w:val="A5FC4978"/>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pStyle w:val="250"/>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ED7E2DF2"/>
    <w:multiLevelType w:val="singleLevel"/>
    <w:tmpl w:val="ED7E2DF2"/>
    <w:lvl w:ilvl="0" w:tentative="0">
      <w:start w:val="1"/>
      <w:numFmt w:val="bullet"/>
      <w:lvlText w:val=""/>
      <w:lvlJc w:val="left"/>
      <w:pPr>
        <w:tabs>
          <w:tab w:val="left" w:pos="420"/>
        </w:tabs>
        <w:ind w:left="283" w:leftChars="0" w:hanging="283" w:firstLineChars="0"/>
      </w:pPr>
      <w:rPr>
        <w:rFonts w:hint="default" w:ascii="Wingdings" w:hAnsi="Wingdings" w:cs="Microsoft YaHei"/>
        <w:sz w:val="16"/>
        <w:szCs w:val="14"/>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4E1DCD"/>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8754239"/>
    <w:rsid w:val="1F5E444B"/>
    <w:rsid w:val="2B4E1DCD"/>
    <w:rsid w:val="39F82BB7"/>
    <w:rsid w:val="60B7632C"/>
    <w:rsid w:val="62F34354"/>
    <w:rsid w:val="6E41433A"/>
    <w:rsid w:val="732B140E"/>
    <w:rsid w:val="74723C9A"/>
    <w:rsid w:val="79AB5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qFormat/>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qFormat/>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Tiêu đề 1."/>
    <w:basedOn w:val="1"/>
    <w:uiPriority w:val="0"/>
    <w:pPr>
      <w:spacing w:before="150" w:beforeLines="150" w:after="150" w:afterLines="150"/>
    </w:pPr>
    <w:rPr>
      <w:rFonts w:ascii="Times New Roman" w:hAnsi="Times New Roman" w:cs="Times New Roman"/>
      <w:b/>
      <w:sz w:val="28"/>
      <w:szCs w:val="22"/>
      <w:lang w:val="vi-VN"/>
    </w:rPr>
  </w:style>
  <w:style w:type="paragraph" w:customStyle="1" w:styleId="250">
    <w:name w:val="Tiêu đề 1.1."/>
    <w:basedOn w:val="1"/>
    <w:next w:val="1"/>
    <w:qFormat/>
    <w:uiPriority w:val="0"/>
    <w:pPr>
      <w:keepNext/>
      <w:keepLines/>
      <w:numPr>
        <w:ilvl w:val="1"/>
        <w:numId w:val="11"/>
      </w:numPr>
      <w:spacing w:before="100" w:after="100" w:line="360" w:lineRule="auto"/>
      <w:outlineLvl w:val="1"/>
    </w:pPr>
    <w:rPr>
      <w:rFonts w:ascii="Times New Roman" w:hAnsi="Times New Roman" w:eastAsia="SimSun" w:cs="Times New Roman"/>
      <w:b/>
      <w:bCs/>
      <w:sz w:val="26"/>
      <w:szCs w:val="24"/>
    </w:rPr>
  </w:style>
  <w:style w:type="paragraph" w:customStyle="1" w:styleId="251">
    <w:name w:val="Paragraph"/>
    <w:basedOn w:val="1"/>
    <w:uiPriority w:val="0"/>
    <w:pPr>
      <w:spacing w:before="50" w:beforeLines="50" w:after="50" w:afterLines="50"/>
    </w:pPr>
    <w:rPr>
      <w:rFonts w:ascii="Times New Roman" w:hAnsi="Times New Roman" w:cs="Times New Roman"/>
      <w:sz w:val="24"/>
      <w:szCs w:val="22"/>
    </w:rPr>
  </w:style>
  <w:style w:type="paragraph" w:customStyle="1" w:styleId="252">
    <w:name w:val="anh"/>
    <w:basedOn w:val="1"/>
    <w:uiPriority w:val="0"/>
    <w:pPr>
      <w:spacing w:before="50" w:beforeLines="50" w:after="50" w:afterLines="50"/>
      <w:jc w:val="center"/>
    </w:pPr>
    <w:rPr>
      <w:rFonts w:ascii="Times New Roman" w:hAnsi="Times New Roman" w:cs="Times New Roman"/>
      <w:sz w:val="24"/>
      <w:szCs w:val="22"/>
      <w:lang w:val="vi-VN"/>
    </w:rPr>
  </w:style>
  <w:style w:type="paragraph" w:customStyle="1" w:styleId="253">
    <w:name w:val="Doan Van"/>
    <w:basedOn w:val="1"/>
    <w:next w:val="1"/>
    <w:uiPriority w:val="0"/>
    <w:pPr>
      <w:spacing w:after="100" w:line="276" w:lineRule="auto"/>
      <w:ind w:firstLine="0"/>
    </w:pPr>
    <w:rPr>
      <w:rFonts w:ascii="Times New Roman" w:hAnsi="Times New Roman" w:eastAsia="SimSun" w:cs="SimSun"/>
      <w:bCs/>
      <w:sz w:val="24"/>
      <w:szCs w:val="24"/>
    </w:rPr>
  </w:style>
  <w:style w:type="paragraph" w:customStyle="1" w:styleId="254">
    <w:name w:val="heading 1 noto"/>
    <w:basedOn w:val="2"/>
    <w:next w:val="1"/>
    <w:uiPriority w:val="0"/>
    <w:pPr>
      <w:pBdr>
        <w:bottom w:val="single" w:color="auto" w:sz="4" w:space="0"/>
      </w:pBdr>
      <w:spacing w:before="360" w:after="120" w:line="288" w:lineRule="auto"/>
    </w:pPr>
    <w:rPr>
      <w:rFonts w:ascii="Noto Sans" w:hAnsi="Noto Sans" w:eastAsia="Noto Sans Black" w:cs="Noto Sans"/>
      <w:color w:val="000000"/>
      <w:sz w:val="36"/>
      <w:szCs w:val="36"/>
      <w:lang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152</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2026-05-26T01:19:00Z</dcterms:created>
  <dc:creator>Tuấn Hoàng</dc:creator>
  <cp:lastModifiedBy>Tuấn Hoàng</cp:lastModifiedBy>
  <dcterms:modified xsi:type="dcterms:W3CDTF">2026-05-26T01:31:48Z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05F6DE6ED5564F659A7F2F189D30B5DF_11</vt:lpwstr>
  </property>
</Properties>
</file>