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2448"/>
        <w:gridCol w:w="7920"/>
      </w:tblGrid>
      <w:tr w14:paraId="49C8F79F">
        <w:tblPrEx>
          <w:tblCellMar>
            <w:top w:w="0" w:type="dxa"/>
            <w:left w:w="108" w:type="dxa"/>
            <w:bottom w:w="0" w:type="dxa"/>
            <w:right w:w="108" w:type="dxa"/>
          </w:tblCellMar>
        </w:tblPrEx>
        <w:trPr>
          <w:jc w:val="center"/>
        </w:trPr>
        <w:tc>
          <w:tcPr>
            <w:tcW w:w="10368" w:type="dxa"/>
            <w:gridSpan w:val="2"/>
            <w:tcBorders>
              <w:top w:val="single" w:color="1F4E79" w:sz="18" w:space="0"/>
              <w:left w:val="single" w:color="1F4E79" w:sz="18" w:space="0"/>
              <w:bottom w:val="single" w:color="1F4E79" w:sz="18" w:space="0"/>
              <w:right w:val="single" w:color="1F4E79" w:sz="18" w:space="0"/>
            </w:tcBorders>
            <w:shd w:val="clear" w:color="auto" w:fill="F2F8FC"/>
            <w:vAlign w:val="center"/>
          </w:tcPr>
          <w:p w14:paraId="3A3FB153"/>
          <w:p w14:paraId="3882969E"/>
          <w:p w14:paraId="04D90099"/>
          <w:p w14:paraId="13F88EDA">
            <w:pPr>
              <w:jc w:val="center"/>
            </w:pPr>
            <w:r>
              <w:rPr>
                <w:b/>
                <w:color w:val="1F4E79"/>
                <w:sz w:val="48"/>
              </w:rPr>
              <w:t>WEEK 2 PAPER REVIEW</w:t>
            </w:r>
          </w:p>
          <w:p w14:paraId="418D0D8C">
            <w:pPr>
              <w:jc w:val="center"/>
            </w:pPr>
            <w:r>
              <w:rPr>
                <w:b/>
                <w:color w:val="404040"/>
                <w:sz w:val="28"/>
              </w:rPr>
              <w:t>TỔNG HỢP 2 BÀI BÁO KHOA HỌC LIÊN QUAN ĐẾN DỰ ÁN</w:t>
            </w:r>
          </w:p>
          <w:p w14:paraId="5B4D9138"/>
        </w:tc>
      </w:tr>
      <w:tr w14:paraId="6E0F8D2D">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3DD06647">
            <w:r>
              <w:rPr>
                <w:b/>
              </w:rPr>
              <w:t>Tên dự án</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7EF0919F">
            <w:pPr>
              <w:jc w:val="both"/>
              <w:rPr>
                <w:rFonts w:hint="default"/>
                <w:lang w:val="en-US"/>
              </w:rPr>
            </w:pPr>
            <w:r>
              <w:t>Nền tảng hỗ trợ cho thuê xe ô tô tự lái</w:t>
            </w:r>
            <w:r>
              <w:rPr>
                <w:rFonts w:hint="default"/>
                <w:lang w:val="en-US"/>
              </w:rPr>
              <w:t>(Self-drive car rental support platform)</w:t>
            </w:r>
          </w:p>
        </w:tc>
      </w:tr>
      <w:tr w14:paraId="6EF77D20">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65A7E078">
            <w:r>
              <w:rPr>
                <w:b/>
              </w:rPr>
              <w:t>Định hướng</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745B55CD">
            <w:pPr>
              <w:jc w:val="both"/>
            </w:pPr>
            <w:r>
              <w:t xml:space="preserve">Ứng dụng Web hỗ trợ đặt thuê </w:t>
            </w:r>
            <w:r>
              <w:rPr>
                <w:rFonts w:hint="default"/>
                <w:lang w:val="en-US"/>
              </w:rPr>
              <w:t>ô tô tự lái</w:t>
            </w:r>
            <w:r>
              <w:t>, quản lý đội xe, thanh toán và đặt cọc trực tuyến.</w:t>
            </w:r>
          </w:p>
        </w:tc>
      </w:tr>
      <w:tr w14:paraId="2AA5BA61">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278824F2">
            <w:r>
              <w:rPr>
                <w:b/>
              </w:rPr>
              <w:t>Nguồn paper</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2CFE162E">
            <w:pPr>
              <w:jc w:val="both"/>
            </w:pPr>
            <w:r>
              <w:t>SpringerLink</w:t>
            </w:r>
          </w:p>
        </w:tc>
      </w:tr>
      <w:tr w14:paraId="4B49FC79">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32EBE2A5">
            <w:r>
              <w:rPr>
                <w:b/>
              </w:rPr>
              <w:t>Số lượng paper</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1E62B1C1">
            <w:pPr>
              <w:jc w:val="both"/>
            </w:pPr>
            <w:r>
              <w:t>02 paper</w:t>
            </w:r>
          </w:p>
        </w:tc>
      </w:tr>
      <w:tr w14:paraId="5F1C3D9C">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7067931C">
            <w:r>
              <w:rPr>
                <w:b/>
              </w:rPr>
              <w:t>Mục đích</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50837B41">
            <w:pPr>
              <w:jc w:val="both"/>
            </w:pPr>
            <w:r>
              <w:t>Tổng hợp, phân tích, nhận định và đánh giá tài liệu nghiên cứu phục vụ phần Introduction, Scope và Existing Systems trong SRS.</w:t>
            </w:r>
          </w:p>
        </w:tc>
      </w:tr>
    </w:tbl>
    <w:p w14:paraId="011F39DD"/>
    <w:tbl>
      <w:tblPr>
        <w:tblStyle w:val="12"/>
        <w:tblW w:w="0" w:type="auto"/>
        <w:jc w:val="center"/>
        <w:tblLayout w:type="autofit"/>
        <w:tblCellMar>
          <w:top w:w="0" w:type="dxa"/>
          <w:left w:w="108" w:type="dxa"/>
          <w:bottom w:w="0" w:type="dxa"/>
          <w:right w:w="108" w:type="dxa"/>
        </w:tblCellMar>
      </w:tblPr>
      <w:tblGrid>
        <w:gridCol w:w="1008"/>
        <w:gridCol w:w="9360"/>
      </w:tblGrid>
      <w:tr w14:paraId="3D879759">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25FB8770">
            <w:r>
              <w:rPr>
                <w:b/>
                <w:color w:val="1F4E79"/>
                <w:sz w:val="28"/>
              </w:rPr>
              <w:t>MỤC LỤC</w:t>
            </w:r>
          </w:p>
        </w:tc>
      </w:tr>
      <w:tr w14:paraId="32A46980">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5C61780">
            <w:pPr>
              <w:jc w:val="center"/>
            </w:pPr>
            <w:r>
              <w:rPr>
                <w:b/>
              </w:rPr>
              <w:t>1</w:t>
            </w:r>
          </w:p>
        </w:tc>
        <w:tc>
          <w:tcPr>
            <w:tcW w:w="8928" w:type="dxa"/>
            <w:tcBorders>
              <w:top w:val="single" w:color="5B9BD5" w:sz="8" w:space="0"/>
              <w:left w:val="single" w:color="5B9BD5" w:sz="8" w:space="0"/>
              <w:bottom w:val="single" w:color="5B9BD5" w:sz="8" w:space="0"/>
              <w:right w:val="single" w:color="5B9BD5" w:sz="8" w:space="0"/>
            </w:tcBorders>
            <w:vAlign w:val="center"/>
          </w:tcPr>
          <w:p w14:paraId="6B804358">
            <w:r>
              <w:t>Tổng quan dự án và tiêu chí chọn paper</w:t>
            </w:r>
          </w:p>
        </w:tc>
      </w:tr>
      <w:tr w14:paraId="2A7C990E">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87027F1">
            <w:pPr>
              <w:jc w:val="center"/>
            </w:pPr>
            <w:r>
              <w:rPr>
                <w:b/>
              </w:rPr>
              <w:t>2</w:t>
            </w:r>
          </w:p>
        </w:tc>
        <w:tc>
          <w:tcPr>
            <w:tcW w:w="8928" w:type="dxa"/>
            <w:tcBorders>
              <w:top w:val="single" w:color="5B9BD5" w:sz="8" w:space="0"/>
              <w:left w:val="single" w:color="5B9BD5" w:sz="8" w:space="0"/>
              <w:bottom w:val="single" w:color="5B9BD5" w:sz="8" w:space="0"/>
              <w:right w:val="single" w:color="5B9BD5" w:sz="8" w:space="0"/>
            </w:tcBorders>
            <w:vAlign w:val="center"/>
          </w:tcPr>
          <w:p w14:paraId="31B93D97">
            <w:pPr>
              <w:rPr>
                <w:rFonts w:hint="default"/>
                <w:lang w:val="en-US"/>
              </w:rPr>
            </w:pPr>
            <w:r>
              <w:rPr>
                <w:rFonts w:hint="default" w:eastAsia="SimSun" w:cs="Times New Roman"/>
                <w:sz w:val="22"/>
                <w:szCs w:val="22"/>
                <w:lang w:val="en-US"/>
              </w:rPr>
              <w:t xml:space="preserve">Paper 1: </w:t>
            </w:r>
            <w:r>
              <w:rPr>
                <w:rFonts w:hint="default" w:ascii="Times New Roman" w:hAnsi="Times New Roman" w:eastAsia="SimSun" w:cs="Times New Roman"/>
                <w:sz w:val="22"/>
                <w:szCs w:val="22"/>
              </w:rPr>
              <w:t>Mobile wallet adoption in tourism economies: the role of trust, incentives, and user behavior</w:t>
            </w:r>
          </w:p>
        </w:tc>
      </w:tr>
      <w:tr w14:paraId="79E10148">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90887B4">
            <w:pPr>
              <w:jc w:val="center"/>
            </w:pPr>
            <w:r>
              <w:rPr>
                <w:b/>
              </w:rPr>
              <w:t>3</w:t>
            </w:r>
          </w:p>
        </w:tc>
        <w:tc>
          <w:tcPr>
            <w:tcW w:w="8928" w:type="dxa"/>
            <w:tcBorders>
              <w:top w:val="single" w:color="5B9BD5" w:sz="8" w:space="0"/>
              <w:left w:val="single" w:color="5B9BD5" w:sz="8" w:space="0"/>
              <w:bottom w:val="single" w:color="5B9BD5" w:sz="8" w:space="0"/>
              <w:right w:val="single" w:color="5B9BD5" w:sz="8" w:space="0"/>
            </w:tcBorders>
            <w:vAlign w:val="center"/>
          </w:tcPr>
          <w:p w14:paraId="274AC129">
            <w:pPr>
              <w:rPr>
                <w:rFonts w:hint="default"/>
                <w:lang w:val="en-US"/>
              </w:rPr>
            </w:pPr>
            <w:r>
              <w:rPr>
                <w:rFonts w:hint="default" w:cs="Times New Roman"/>
                <w:sz w:val="22"/>
                <w:szCs w:val="22"/>
                <w:lang w:val="en-US"/>
              </w:rPr>
              <w:t xml:space="preserve">Paper 2: </w:t>
            </w:r>
            <w:r>
              <w:rPr>
                <w:rFonts w:hint="default" w:ascii="Times New Roman" w:hAnsi="Times New Roman" w:cs="Times New Roman"/>
                <w:sz w:val="22"/>
                <w:szCs w:val="22"/>
              </w:rPr>
              <w:t>Unlocking E-Wallet Potential in Emerging E-Commerce: Region-Based Evidence from Vietnam's Small Online Stores</w:t>
            </w:r>
          </w:p>
        </w:tc>
      </w:tr>
      <w:tr w14:paraId="34F9EE91">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47FB1A9F">
            <w:pPr>
              <w:jc w:val="center"/>
            </w:pPr>
            <w:r>
              <w:rPr>
                <w:b/>
              </w:rPr>
              <w:t>4</w:t>
            </w:r>
          </w:p>
        </w:tc>
        <w:tc>
          <w:tcPr>
            <w:tcW w:w="8928" w:type="dxa"/>
            <w:tcBorders>
              <w:top w:val="single" w:color="5B9BD5" w:sz="8" w:space="0"/>
              <w:left w:val="single" w:color="5B9BD5" w:sz="8" w:space="0"/>
              <w:bottom w:val="single" w:color="5B9BD5" w:sz="8" w:space="0"/>
              <w:right w:val="single" w:color="5B9BD5" w:sz="8" w:space="0"/>
            </w:tcBorders>
            <w:vAlign w:val="center"/>
          </w:tcPr>
          <w:p w14:paraId="07391C28">
            <w:r>
              <w:t>Bảng so sánh 2 paper</w:t>
            </w:r>
          </w:p>
        </w:tc>
      </w:tr>
      <w:tr w14:paraId="01075E9B">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34207D1">
            <w:pPr>
              <w:jc w:val="center"/>
            </w:pPr>
            <w:r>
              <w:rPr>
                <w:b/>
              </w:rPr>
              <w:t>5</w:t>
            </w:r>
          </w:p>
        </w:tc>
        <w:tc>
          <w:tcPr>
            <w:tcW w:w="8928" w:type="dxa"/>
            <w:tcBorders>
              <w:top w:val="single" w:color="5B9BD5" w:sz="8" w:space="0"/>
              <w:left w:val="single" w:color="5B9BD5" w:sz="8" w:space="0"/>
              <w:bottom w:val="single" w:color="5B9BD5" w:sz="8" w:space="0"/>
              <w:right w:val="single" w:color="5B9BD5" w:sz="8" w:space="0"/>
            </w:tcBorders>
            <w:vAlign w:val="center"/>
          </w:tcPr>
          <w:p w14:paraId="4732C048">
            <w:r>
              <w:t>Ứng dụng paper vào SRS của dự án</w:t>
            </w:r>
          </w:p>
        </w:tc>
      </w:tr>
      <w:tr w14:paraId="1327E47C">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2C508A0">
            <w:pPr>
              <w:jc w:val="center"/>
            </w:pPr>
            <w:r>
              <w:rPr>
                <w:b/>
              </w:rPr>
              <w:t>6</w:t>
            </w:r>
          </w:p>
        </w:tc>
        <w:tc>
          <w:tcPr>
            <w:tcW w:w="8928" w:type="dxa"/>
            <w:tcBorders>
              <w:top w:val="single" w:color="5B9BD5" w:sz="8" w:space="0"/>
              <w:left w:val="single" w:color="5B9BD5" w:sz="8" w:space="0"/>
              <w:bottom w:val="single" w:color="5B9BD5" w:sz="8" w:space="0"/>
              <w:right w:val="single" w:color="5B9BD5" w:sz="8" w:space="0"/>
            </w:tcBorders>
            <w:vAlign w:val="center"/>
          </w:tcPr>
          <w:p w14:paraId="2BE88AF7">
            <w:r>
              <w:t>References</w:t>
            </w:r>
          </w:p>
        </w:tc>
      </w:tr>
    </w:tbl>
    <w:p w14:paraId="67F319FB"/>
    <w:tbl>
      <w:tblPr>
        <w:tblStyle w:val="12"/>
        <w:tblW w:w="0" w:type="auto"/>
        <w:jc w:val="center"/>
        <w:tblLayout w:type="autofit"/>
        <w:tblCellMar>
          <w:top w:w="0" w:type="dxa"/>
          <w:left w:w="108" w:type="dxa"/>
          <w:bottom w:w="0" w:type="dxa"/>
          <w:right w:w="108" w:type="dxa"/>
        </w:tblCellMar>
      </w:tblPr>
      <w:tblGrid>
        <w:gridCol w:w="4669"/>
        <w:gridCol w:w="6059"/>
      </w:tblGrid>
      <w:tr w14:paraId="0AB20831">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376A7908">
            <w:pPr>
              <w:rPr>
                <w:sz w:val="22"/>
                <w:szCs w:val="22"/>
              </w:rPr>
            </w:pPr>
            <w:r>
              <w:rPr>
                <w:b/>
                <w:color w:val="1F4E79"/>
                <w:sz w:val="22"/>
                <w:szCs w:val="22"/>
              </w:rPr>
              <w:t>1. TỔNG QUAN DỰ ÁN VÀ TIÊU CHÍ CHỌN PAPER</w:t>
            </w:r>
          </w:p>
        </w:tc>
      </w:tr>
      <w:tr w14:paraId="3B0A8170">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shd w:val="clear" w:color="auto" w:fill="EAF2F8"/>
            <w:vAlign w:val="center"/>
          </w:tcPr>
          <w:p w14:paraId="6AF102EF">
            <w:pPr>
              <w:rPr>
                <w:sz w:val="22"/>
                <w:szCs w:val="22"/>
              </w:rPr>
            </w:pPr>
            <w:r>
              <w:rPr>
                <w:b/>
                <w:sz w:val="22"/>
                <w:szCs w:val="22"/>
              </w:rPr>
              <w:t>Bối cảnh dự án</w:t>
            </w:r>
          </w:p>
        </w:tc>
      </w:tr>
      <w:tr w14:paraId="6CE2BAAC">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vAlign w:val="center"/>
          </w:tcPr>
          <w:p w14:paraId="20C86663">
            <w:pPr>
              <w:spacing w:after="100"/>
              <w:ind w:firstLine="330" w:firstLineChars="150"/>
              <w:jc w:val="left"/>
              <w:rPr>
                <w:rFonts w:hint="default" w:ascii="Times New Roman" w:hAnsi="Times New Roman" w:eastAsia="SimSun" w:cs="Times New Roman"/>
                <w:b w:val="0"/>
                <w:bCs w:val="0"/>
                <w:sz w:val="22"/>
                <w:szCs w:val="22"/>
              </w:rPr>
            </w:pPr>
          </w:p>
        </w:tc>
      </w:tr>
      <w:tr w14:paraId="0D797B12">
        <w:tblPrEx>
          <w:tblCellMar>
            <w:top w:w="0" w:type="dxa"/>
            <w:left w:w="108" w:type="dxa"/>
            <w:bottom w:w="0" w:type="dxa"/>
            <w:right w:w="108" w:type="dxa"/>
          </w:tblCellMar>
        </w:tblPrEx>
        <w:trPr>
          <w:tblHeader/>
          <w:jc w:val="center"/>
        </w:trPr>
        <w:tc>
          <w:tcPr>
            <w:tcW w:w="316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51204162">
            <w:pPr>
              <w:rPr>
                <w:sz w:val="22"/>
                <w:szCs w:val="22"/>
              </w:rPr>
            </w:pPr>
            <w:r>
              <w:rPr>
                <w:b/>
                <w:color w:val="FFFFFF"/>
                <w:sz w:val="22"/>
                <w:szCs w:val="22"/>
              </w:rPr>
              <w:t xml:space="preserve">Tiêu chí chọn </w:t>
            </w:r>
            <w:r>
              <w:rPr>
                <w:rFonts w:hint="default"/>
                <w:b/>
                <w:color w:val="FFFFFF"/>
                <w:sz w:val="22"/>
                <w:szCs w:val="22"/>
                <w:lang w:val="en-US"/>
              </w:rPr>
              <w:t>P</w:t>
            </w:r>
            <w:r>
              <w:rPr>
                <w:b/>
                <w:color w:val="FFFFFF"/>
                <w:sz w:val="22"/>
                <w:szCs w:val="22"/>
              </w:rPr>
              <w:t>aper</w:t>
            </w:r>
          </w:p>
        </w:tc>
        <w:tc>
          <w:tcPr>
            <w:tcW w:w="676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5D7931D4">
            <w:pPr>
              <w:rPr>
                <w:sz w:val="22"/>
                <w:szCs w:val="22"/>
              </w:rPr>
            </w:pPr>
            <w:r>
              <w:rPr>
                <w:b/>
                <w:color w:val="FFFFFF"/>
                <w:sz w:val="22"/>
                <w:szCs w:val="22"/>
              </w:rPr>
              <w:t>Lý do áp dụng cho dự án</w:t>
            </w:r>
          </w:p>
        </w:tc>
      </w:tr>
      <w:tr w14:paraId="3CD4080A">
        <w:tblPrEx>
          <w:tblCellMar>
            <w:top w:w="0" w:type="dxa"/>
            <w:left w:w="108" w:type="dxa"/>
            <w:bottom w:w="0" w:type="dxa"/>
            <w:right w:w="108" w:type="dxa"/>
          </w:tblCellMar>
        </w:tblPrEx>
        <w:trPr>
          <w:jc w:val="center"/>
        </w:trPr>
        <w:tc>
          <w:tcPr>
            <w:tcW w:w="5184" w:type="dxa"/>
          </w:tcPr>
          <w:p w14:paraId="087307FB">
            <w:pPr>
              <w:spacing w:after="40"/>
              <w:rPr>
                <w:rFonts w:hint="default" w:ascii="Times New Roman" w:hAnsi="Times New Roman" w:cs="Times New Roman"/>
                <w:sz w:val="22"/>
                <w:szCs w:val="22"/>
                <w:lang w:val="en-US"/>
              </w:rPr>
            </w:pPr>
          </w:p>
        </w:tc>
        <w:tc>
          <w:tcPr>
            <w:tcW w:w="5184" w:type="dxa"/>
          </w:tcPr>
          <w:p w14:paraId="4005E2A1">
            <w:pPr>
              <w:spacing w:after="40"/>
              <w:rPr>
                <w:rFonts w:hint="default" w:ascii="Times New Roman" w:hAnsi="Times New Roman" w:cs="Times New Roman"/>
                <w:sz w:val="22"/>
                <w:szCs w:val="22"/>
                <w:lang w:val="en-US"/>
              </w:rPr>
            </w:pPr>
          </w:p>
        </w:tc>
      </w:tr>
      <w:tr w14:paraId="4A8BDFFD">
        <w:tblPrEx>
          <w:tblCellMar>
            <w:top w:w="0" w:type="dxa"/>
            <w:left w:w="108" w:type="dxa"/>
            <w:bottom w:w="0" w:type="dxa"/>
            <w:right w:w="108" w:type="dxa"/>
          </w:tblCellMar>
        </w:tblPrEx>
        <w:trPr>
          <w:jc w:val="center"/>
        </w:trPr>
        <w:tc>
          <w:tcPr>
            <w:tcW w:w="5184" w:type="dxa"/>
          </w:tcPr>
          <w:p w14:paraId="2D454166">
            <w:pPr>
              <w:spacing w:after="40"/>
              <w:rPr>
                <w:rFonts w:hint="default" w:ascii="Times New Roman" w:hAnsi="Times New Roman" w:cs="Times New Roman"/>
                <w:sz w:val="22"/>
                <w:szCs w:val="22"/>
              </w:rPr>
            </w:pPr>
          </w:p>
        </w:tc>
        <w:tc>
          <w:tcPr>
            <w:tcW w:w="5184" w:type="dxa"/>
          </w:tcPr>
          <w:p w14:paraId="54EAB0C2">
            <w:pPr>
              <w:spacing w:after="40"/>
              <w:rPr>
                <w:rFonts w:hint="default" w:ascii="Times New Roman" w:hAnsi="Times New Roman" w:cs="Times New Roman"/>
                <w:sz w:val="22"/>
                <w:szCs w:val="22"/>
              </w:rPr>
            </w:pPr>
          </w:p>
        </w:tc>
      </w:tr>
      <w:tr w14:paraId="13662B45">
        <w:tblPrEx>
          <w:tblCellMar>
            <w:top w:w="0" w:type="dxa"/>
            <w:left w:w="108" w:type="dxa"/>
            <w:bottom w:w="0" w:type="dxa"/>
            <w:right w:w="108" w:type="dxa"/>
          </w:tblCellMar>
        </w:tblPrEx>
        <w:trPr>
          <w:jc w:val="center"/>
        </w:trPr>
        <w:tc>
          <w:tcPr>
            <w:tcW w:w="5184" w:type="dxa"/>
          </w:tcPr>
          <w:p w14:paraId="731CBAC2">
            <w:pPr>
              <w:spacing w:after="40"/>
              <w:rPr>
                <w:rFonts w:hint="default" w:ascii="Times New Roman" w:hAnsi="Times New Roman" w:cs="Times New Roman"/>
                <w:sz w:val="22"/>
                <w:szCs w:val="22"/>
              </w:rPr>
            </w:pPr>
          </w:p>
        </w:tc>
        <w:tc>
          <w:tcPr>
            <w:tcW w:w="5184" w:type="dxa"/>
          </w:tcPr>
          <w:p w14:paraId="30359A1E">
            <w:pPr>
              <w:spacing w:after="40"/>
              <w:rPr>
                <w:rFonts w:hint="default" w:ascii="Times New Roman" w:hAnsi="Times New Roman" w:cs="Times New Roman"/>
                <w:sz w:val="22"/>
                <w:szCs w:val="22"/>
              </w:rPr>
            </w:pPr>
          </w:p>
        </w:tc>
      </w:tr>
      <w:tr w14:paraId="2E23C422">
        <w:tblPrEx>
          <w:tblCellMar>
            <w:top w:w="0" w:type="dxa"/>
            <w:left w:w="108" w:type="dxa"/>
            <w:bottom w:w="0" w:type="dxa"/>
            <w:right w:w="108" w:type="dxa"/>
          </w:tblCellMar>
        </w:tblPrEx>
        <w:trPr>
          <w:jc w:val="center"/>
        </w:trPr>
        <w:tc>
          <w:tcPr>
            <w:tcW w:w="5184" w:type="dxa"/>
          </w:tcPr>
          <w:p w14:paraId="5196BCA6">
            <w:pPr>
              <w:spacing w:after="40"/>
              <w:rPr>
                <w:rFonts w:hint="default" w:ascii="Times New Roman" w:hAnsi="Times New Roman" w:cs="Times New Roman"/>
                <w:sz w:val="22"/>
                <w:szCs w:val="22"/>
              </w:rPr>
            </w:pPr>
          </w:p>
        </w:tc>
        <w:tc>
          <w:tcPr>
            <w:tcW w:w="5184" w:type="dxa"/>
          </w:tcPr>
          <w:p w14:paraId="1ED00A31">
            <w:pPr>
              <w:spacing w:after="40"/>
              <w:rPr>
                <w:rFonts w:hint="default" w:ascii="Times New Roman" w:hAnsi="Times New Roman" w:cs="Times New Roman"/>
                <w:sz w:val="22"/>
                <w:szCs w:val="22"/>
              </w:rPr>
            </w:pPr>
          </w:p>
        </w:tc>
      </w:tr>
    </w:tbl>
    <w:p w14:paraId="085F016A">
      <w:r>
        <w:br w:type="page"/>
      </w:r>
    </w:p>
    <w:tbl>
      <w:tblPr>
        <w:tblStyle w:val="12"/>
        <w:tblW w:w="0" w:type="auto"/>
        <w:jc w:val="center"/>
        <w:tblLayout w:type="autofit"/>
        <w:tblCellMar>
          <w:top w:w="0" w:type="dxa"/>
          <w:left w:w="108" w:type="dxa"/>
          <w:bottom w:w="0" w:type="dxa"/>
          <w:right w:w="108" w:type="dxa"/>
        </w:tblCellMar>
      </w:tblPr>
      <w:tblGrid>
        <w:gridCol w:w="2232"/>
        <w:gridCol w:w="8136"/>
      </w:tblGrid>
      <w:tr w14:paraId="2A96E1BC">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3FC60411">
            <w:pPr>
              <w:rPr>
                <w:rFonts w:hint="default"/>
                <w:lang w:val="en-US"/>
              </w:rPr>
            </w:pPr>
            <w:r>
              <w:rPr>
                <w:rFonts w:hint="default"/>
                <w:b/>
                <w:color w:val="1F4E79"/>
                <w:sz w:val="28"/>
                <w:lang w:val="en-US"/>
              </w:rPr>
              <w:t>2</w:t>
            </w:r>
            <w:r>
              <w:rPr>
                <w:b/>
                <w:color w:val="1F4E79"/>
                <w:sz w:val="28"/>
              </w:rPr>
              <w:t xml:space="preserve">. PAPER </w:t>
            </w:r>
            <w:r>
              <w:rPr>
                <w:rFonts w:hint="default"/>
                <w:b/>
                <w:color w:val="1F4E79"/>
                <w:sz w:val="28"/>
                <w:lang w:val="en-US"/>
              </w:rPr>
              <w:t>1</w:t>
            </w:r>
            <w:r>
              <w:rPr>
                <w:b/>
                <w:color w:val="1F4E79"/>
                <w:sz w:val="28"/>
              </w:rPr>
              <w:t xml:space="preserve">: </w:t>
            </w:r>
            <w:r>
              <w:rPr>
                <w:rFonts w:hint="default"/>
                <w:b/>
                <w:color w:val="1F4E79"/>
                <w:sz w:val="28"/>
                <w:lang w:val="en-US"/>
              </w:rPr>
              <w:t>MOBILE WALLET ADOPTION IN TOURISM ECONOMIES: THE ROLE OF TRUST, INCENTIVES, AND USER BEHAVIOR.</w:t>
            </w:r>
          </w:p>
        </w:tc>
      </w:tr>
      <w:tr w14:paraId="3A72E290">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95EAFCD">
            <w:pPr>
              <w:spacing w:after="40"/>
            </w:pPr>
            <w:r>
              <w:rPr>
                <w:b/>
                <w:sz w:val="21"/>
              </w:rPr>
              <w:t>Paper Title</w:t>
            </w:r>
          </w:p>
        </w:tc>
        <w:tc>
          <w:tcPr>
            <w:tcW w:w="7704" w:type="dxa"/>
            <w:tcBorders>
              <w:top w:val="single" w:color="5B9BD5" w:sz="8" w:space="0"/>
              <w:left w:val="single" w:color="5B9BD5" w:sz="8" w:space="0"/>
              <w:bottom w:val="single" w:color="5B9BD5" w:sz="8" w:space="0"/>
              <w:right w:val="single" w:color="5B9BD5" w:sz="8" w:space="0"/>
            </w:tcBorders>
            <w:vAlign w:val="center"/>
          </w:tcPr>
          <w:p w14:paraId="408B48C1">
            <w:pPr>
              <w:spacing w:after="40"/>
            </w:pPr>
            <w:r>
              <w:t>Mobile wallet adoption in tourism economies: the role of trust, incentives, and user behavior</w:t>
            </w:r>
          </w:p>
        </w:tc>
      </w:tr>
      <w:tr w14:paraId="5F1EE28B">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46A8EF8">
            <w:pPr>
              <w:spacing w:after="40"/>
            </w:pPr>
            <w:r>
              <w:rPr>
                <w:b/>
                <w:sz w:val="21"/>
              </w:rPr>
              <w:t>Authors</w:t>
            </w:r>
          </w:p>
        </w:tc>
        <w:tc>
          <w:tcPr>
            <w:tcW w:w="7704" w:type="dxa"/>
            <w:tcBorders>
              <w:top w:val="single" w:color="5B9BD5" w:sz="8" w:space="0"/>
              <w:left w:val="single" w:color="5B9BD5" w:sz="8" w:space="0"/>
              <w:bottom w:val="single" w:color="5B9BD5" w:sz="8" w:space="0"/>
              <w:right w:val="single" w:color="5B9BD5" w:sz="8" w:space="0"/>
            </w:tcBorders>
            <w:vAlign w:val="center"/>
          </w:tcPr>
          <w:p w14:paraId="66FBA612">
            <w:pPr>
              <w:spacing w:after="40"/>
            </w:pPr>
            <w:r>
              <w:t>Shiv Kumar Gupta, Shashank Gupta, Rachana Jaiswal</w:t>
            </w:r>
          </w:p>
        </w:tc>
      </w:tr>
      <w:tr w14:paraId="3DD46D99">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E5DED0">
            <w:pPr>
              <w:spacing w:after="40"/>
              <w:rPr>
                <w:rFonts w:hint="default"/>
                <w:lang w:val="en-US"/>
              </w:rPr>
            </w:pPr>
            <w:r>
              <w:rPr>
                <w:rFonts w:hint="default"/>
                <w:b/>
                <w:sz w:val="21"/>
                <w:lang w:val="en-US"/>
              </w:rPr>
              <w:t>Published</w:t>
            </w:r>
          </w:p>
        </w:tc>
        <w:tc>
          <w:tcPr>
            <w:tcW w:w="7704" w:type="dxa"/>
            <w:tcBorders>
              <w:top w:val="single" w:color="5B9BD5" w:sz="8" w:space="0"/>
              <w:left w:val="single" w:color="5B9BD5" w:sz="8" w:space="0"/>
              <w:bottom w:val="single" w:color="5B9BD5" w:sz="8" w:space="0"/>
              <w:right w:val="single" w:color="5B9BD5" w:sz="8" w:space="0"/>
            </w:tcBorders>
            <w:vAlign w:val="center"/>
          </w:tcPr>
          <w:p w14:paraId="13A1B61F">
            <w:pPr>
              <w:spacing w:after="40"/>
              <w:rPr>
                <w:rFonts w:hint="default"/>
                <w:lang w:val="en-US"/>
              </w:rPr>
            </w:pPr>
            <w:r>
              <w:rPr>
                <w:rFonts w:hint="default"/>
                <w:lang w:val="en-US"/>
              </w:rPr>
              <w:t>11 October 2025</w:t>
            </w:r>
          </w:p>
        </w:tc>
      </w:tr>
      <w:tr w14:paraId="2F7FFC8E">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97D521D">
            <w:pPr>
              <w:spacing w:after="40"/>
            </w:pPr>
            <w:r>
              <w:rPr>
                <w:b/>
                <w:sz w:val="21"/>
              </w:rPr>
              <w:t>Source / Publisher</w:t>
            </w:r>
          </w:p>
        </w:tc>
        <w:tc>
          <w:tcPr>
            <w:tcW w:w="7704" w:type="dxa"/>
            <w:tcBorders>
              <w:top w:val="single" w:color="5B9BD5" w:sz="8" w:space="0"/>
              <w:left w:val="single" w:color="5B9BD5" w:sz="8" w:space="0"/>
              <w:bottom w:val="single" w:color="5B9BD5" w:sz="8" w:space="0"/>
              <w:right w:val="single" w:color="5B9BD5" w:sz="8" w:space="0"/>
            </w:tcBorders>
            <w:vAlign w:val="center"/>
          </w:tcPr>
          <w:p w14:paraId="77C3D99B">
            <w:pPr>
              <w:spacing w:after="40"/>
              <w:rPr>
                <w:rFonts w:hint="default"/>
                <w:lang w:val="en-US"/>
              </w:rPr>
            </w:pPr>
            <w:r>
              <w:rPr>
                <w:rFonts w:hint="default"/>
                <w:lang w:val="en-US"/>
              </w:rPr>
              <w:t>Quality &amp; Quantity - Springer Nature</w:t>
            </w:r>
          </w:p>
        </w:tc>
      </w:tr>
      <w:tr w14:paraId="56E671A4">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C08A721">
            <w:pPr>
              <w:spacing w:after="40"/>
            </w:pPr>
            <w:r>
              <w:rPr>
                <w:b/>
                <w:sz w:val="21"/>
              </w:rPr>
              <w:t>DOI</w:t>
            </w:r>
          </w:p>
        </w:tc>
        <w:tc>
          <w:tcPr>
            <w:tcW w:w="7704" w:type="dxa"/>
            <w:tcBorders>
              <w:top w:val="single" w:color="5B9BD5" w:sz="8" w:space="0"/>
              <w:left w:val="single" w:color="5B9BD5" w:sz="8" w:space="0"/>
              <w:bottom w:val="single" w:color="5B9BD5" w:sz="8" w:space="0"/>
              <w:right w:val="single" w:color="5B9BD5" w:sz="8" w:space="0"/>
            </w:tcBorders>
            <w:vAlign w:val="center"/>
          </w:tcPr>
          <w:p w14:paraId="53008B22">
            <w:pPr>
              <w:spacing w:after="40"/>
            </w:pPr>
            <w:r>
              <w:t>10.1007/s11135-025-02427-w</w:t>
            </w:r>
          </w:p>
        </w:tc>
      </w:tr>
      <w:tr w14:paraId="3C489AC6">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1A275B2">
            <w:pPr>
              <w:spacing w:after="40"/>
            </w:pPr>
            <w:r>
              <w:rPr>
                <w:b/>
                <w:sz w:val="21"/>
              </w:rPr>
              <w:t>Keywords</w:t>
            </w:r>
          </w:p>
        </w:tc>
        <w:tc>
          <w:tcPr>
            <w:tcW w:w="7704" w:type="dxa"/>
            <w:tcBorders>
              <w:top w:val="single" w:color="5B9BD5" w:sz="8" w:space="0"/>
              <w:left w:val="single" w:color="5B9BD5" w:sz="8" w:space="0"/>
              <w:bottom w:val="single" w:color="5B9BD5" w:sz="8" w:space="0"/>
              <w:right w:val="single" w:color="5B9BD5" w:sz="8" w:space="0"/>
            </w:tcBorders>
            <w:vAlign w:val="center"/>
          </w:tcPr>
          <w:p w14:paraId="308A14B1">
            <w:pPr>
              <w:spacing w:after="40"/>
            </w:pPr>
            <w:r>
              <w:t>Mobile wallet; Tourism economies; Trust; Incentives; User behavior; Digital payments.</w:t>
            </w:r>
          </w:p>
        </w:tc>
      </w:tr>
      <w:tr w14:paraId="1E864CCF">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shd w:val="clear" w:color="auto" w:fill="EAF2F8"/>
            <w:vAlign w:val="center"/>
          </w:tcPr>
          <w:p w14:paraId="48667AEA">
            <w:r>
              <w:rPr>
                <w:b/>
              </w:rPr>
              <w:t>Research Objective</w:t>
            </w:r>
          </w:p>
        </w:tc>
      </w:tr>
      <w:tr w14:paraId="5FAFAF07">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vAlign w:val="center"/>
          </w:tcPr>
          <w:p w14:paraId="4BA3A2F7">
            <w:pPr>
              <w:spacing w:after="100"/>
              <w:jc w:val="both"/>
            </w:pPr>
            <w:r>
              <w:t>Nghiên cứu phân tích các yếu tố thúc đẩy việc chấp nhận và sử dụng ví điện tử (mobile wallet) trong các nền kinh tế phụ thuộc vào du lịch. Trọng tâm là đánh giá vai trò của "niềm tin" (trust), "chính sách ưu đãi" (incentives) và hành vi người dùng đối với thanh toán số.</w:t>
            </w:r>
          </w:p>
        </w:tc>
      </w:tr>
    </w:tbl>
    <w:p w14:paraId="71DA7C74"/>
    <w:tbl>
      <w:tblPr>
        <w:tblStyle w:val="12"/>
        <w:tblW w:w="0" w:type="auto"/>
        <w:jc w:val="center"/>
        <w:tblLayout w:type="autofit"/>
        <w:tblCellMar>
          <w:top w:w="0" w:type="dxa"/>
          <w:left w:w="108" w:type="dxa"/>
          <w:bottom w:w="0" w:type="dxa"/>
          <w:right w:w="108" w:type="dxa"/>
        </w:tblCellMar>
      </w:tblPr>
      <w:tblGrid>
        <w:gridCol w:w="10368"/>
      </w:tblGrid>
      <w:tr w14:paraId="29602A6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5E550F8">
            <w:r>
              <w:rPr>
                <w:b/>
              </w:rPr>
              <w:t>Main Content</w:t>
            </w:r>
          </w:p>
        </w:tc>
      </w:tr>
      <w:tr w14:paraId="31A62085">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340B5419">
            <w:pPr>
              <w:spacing w:after="100"/>
              <w:jc w:val="both"/>
            </w:pPr>
            <w:r>
              <w:t>Bài báo tập trung làm rõ sự chuyển đổi của thương mại toàn cầu nhờ thanh toán số. Đối với khách du lịch, việc sử dụng ví điện tử mang lại sự tiện lợi, nhưng rào cản lớn nhất vẫn là sự e ngại về bảo mật. Nghiên cứu chỉ ra rằng việc xây dựng niềm tin vào hệ thống và cung cấp các khuyến mãi (incentives) là chìa khóa để thay đổi thói quen thanh toán của du khách.</w:t>
            </w:r>
          </w:p>
        </w:tc>
      </w:tr>
    </w:tbl>
    <w:p w14:paraId="4D3A5533"/>
    <w:tbl>
      <w:tblPr>
        <w:tblStyle w:val="12"/>
        <w:tblW w:w="0" w:type="auto"/>
        <w:jc w:val="center"/>
        <w:tblLayout w:type="autofit"/>
        <w:tblCellMar>
          <w:top w:w="0" w:type="dxa"/>
          <w:left w:w="108" w:type="dxa"/>
          <w:bottom w:w="0" w:type="dxa"/>
          <w:right w:w="108" w:type="dxa"/>
        </w:tblCellMar>
      </w:tblPr>
      <w:tblGrid>
        <w:gridCol w:w="10368"/>
      </w:tblGrid>
      <w:tr w14:paraId="19D735F2">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1E358EC">
            <w:r>
              <w:rPr>
                <w:b/>
              </w:rPr>
              <w:t>Method / Technology Used</w:t>
            </w:r>
          </w:p>
        </w:tc>
      </w:tr>
      <w:tr w14:paraId="270BA2DC">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78F696FF">
            <w:pPr>
              <w:spacing w:after="100"/>
              <w:jc w:val="both"/>
            </w:pPr>
            <w:r>
              <w:t>Phân tích định lượng dựa trên mô hình hành vi người dùng, đánh giá các biến số như sự tin cậy, tính dễ sử dụng, rủi ro cảm nhận được và tác động của các chương trình khuyến mãi.</w:t>
            </w:r>
          </w:p>
        </w:tc>
      </w:tr>
    </w:tbl>
    <w:p w14:paraId="04738CE5"/>
    <w:tbl>
      <w:tblPr>
        <w:tblStyle w:val="12"/>
        <w:tblW w:w="0" w:type="auto"/>
        <w:jc w:val="center"/>
        <w:tblLayout w:type="autofit"/>
        <w:tblCellMar>
          <w:top w:w="0" w:type="dxa"/>
          <w:left w:w="108" w:type="dxa"/>
          <w:bottom w:w="0" w:type="dxa"/>
          <w:right w:w="108" w:type="dxa"/>
        </w:tblCellMar>
      </w:tblPr>
      <w:tblGrid>
        <w:gridCol w:w="10368"/>
      </w:tblGrid>
      <w:tr w14:paraId="369FF507">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FF0DECB">
            <w:r>
              <w:rPr>
                <w:b/>
              </w:rPr>
              <w:t>Key Findings</w:t>
            </w:r>
          </w:p>
        </w:tc>
      </w:tr>
      <w:tr w14:paraId="2B8B7F14">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43E461DF">
            <w:pPr>
              <w:spacing w:after="100"/>
              <w:jc w:val="both"/>
            </w:pPr>
            <w:r>
              <w:t>Niềm tin vào bảo mật của nền tảng và các ưu đãi tài chính (giảm giá, hoàn tiền) là hai động lực mạnh mẽ nhất quyết định việc du khách có sử dụng ví điện tử để thanh toán các dịch vụ du lịch hay không.</w:t>
            </w:r>
          </w:p>
        </w:tc>
      </w:tr>
    </w:tbl>
    <w:p w14:paraId="2196FEA8"/>
    <w:tbl>
      <w:tblPr>
        <w:tblStyle w:val="12"/>
        <w:tblW w:w="0" w:type="auto"/>
        <w:jc w:val="center"/>
        <w:tblLayout w:type="autofit"/>
        <w:tblCellMar>
          <w:top w:w="0" w:type="dxa"/>
          <w:left w:w="108" w:type="dxa"/>
          <w:bottom w:w="0" w:type="dxa"/>
          <w:right w:w="108" w:type="dxa"/>
        </w:tblCellMar>
      </w:tblPr>
      <w:tblGrid>
        <w:gridCol w:w="10368"/>
      </w:tblGrid>
      <w:tr w14:paraId="71FF7D5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8B42516">
            <w:r>
              <w:rPr>
                <w:b/>
              </w:rPr>
              <w:t>Advantages</w:t>
            </w:r>
          </w:p>
        </w:tc>
      </w:tr>
      <w:tr w14:paraId="2A3BD0A3">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46439870">
            <w:pPr>
              <w:spacing w:after="100"/>
              <w:jc w:val="both"/>
            </w:pPr>
            <w:r>
              <w:t>Đi trúng vào tệp khách hàng cốt lõi của dịch vụ thuê xe tự lái: Khách du lịch. Cung cấp cơ sở lý luận vững chắc về tâm lý người dùng khi giao dịch số tiền lớn (như tiền cọc xe).</w:t>
            </w:r>
          </w:p>
        </w:tc>
      </w:tr>
    </w:tbl>
    <w:p w14:paraId="53BFCFC9"/>
    <w:tbl>
      <w:tblPr>
        <w:tblStyle w:val="12"/>
        <w:tblW w:w="0" w:type="auto"/>
        <w:jc w:val="center"/>
        <w:tblLayout w:type="autofit"/>
        <w:tblCellMar>
          <w:top w:w="0" w:type="dxa"/>
          <w:left w:w="108" w:type="dxa"/>
          <w:bottom w:w="0" w:type="dxa"/>
          <w:right w:w="108" w:type="dxa"/>
        </w:tblCellMar>
      </w:tblPr>
      <w:tblGrid>
        <w:gridCol w:w="10368"/>
      </w:tblGrid>
      <w:tr w14:paraId="29FD9D79">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093324E">
            <w:r>
              <w:rPr>
                <w:b/>
              </w:rPr>
              <w:t>Limitations</w:t>
            </w:r>
          </w:p>
        </w:tc>
      </w:tr>
      <w:tr w14:paraId="14623732">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547F3D6">
            <w:pPr>
              <w:spacing w:after="100"/>
              <w:jc w:val="both"/>
            </w:pPr>
            <w:r>
              <w:t>Bối cảnh nghiên cứu có thể tập trung vào một số khu vực du lịch bán đô thị hoặc đồi núi (semi-urban and hilly), cần linh hoạt áp dụng khi đối chiếu với môi trường đô thị lớn.</w:t>
            </w:r>
          </w:p>
        </w:tc>
      </w:tr>
    </w:tbl>
    <w:p w14:paraId="16EC235A"/>
    <w:tbl>
      <w:tblPr>
        <w:tblStyle w:val="12"/>
        <w:tblW w:w="0" w:type="auto"/>
        <w:jc w:val="center"/>
        <w:tblLayout w:type="autofit"/>
        <w:tblCellMar>
          <w:top w:w="0" w:type="dxa"/>
          <w:left w:w="108" w:type="dxa"/>
          <w:bottom w:w="0" w:type="dxa"/>
          <w:right w:w="108" w:type="dxa"/>
        </w:tblCellMar>
      </w:tblPr>
      <w:tblGrid>
        <w:gridCol w:w="10368"/>
      </w:tblGrid>
      <w:tr w14:paraId="4A796332">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C14F148">
            <w:r>
              <w:rPr>
                <w:b/>
              </w:rPr>
              <w:t>Relevance to Our Project</w:t>
            </w:r>
          </w:p>
        </w:tc>
      </w:tr>
      <w:tr w14:paraId="5EFFBA53">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DB54AB4">
            <w:pPr>
              <w:spacing w:after="100"/>
              <w:jc w:val="both"/>
            </w:pPr>
            <w:r>
              <w:t>Rất sát với chức năng "thanh toán và đặt cọc trực tuyến" của Web</w:t>
            </w:r>
            <w:r>
              <w:rPr>
                <w:rFonts w:hint="default"/>
                <w:lang w:val="en-US"/>
              </w:rPr>
              <w:t>/</w:t>
            </w:r>
            <w:r>
              <w:t>app. Khách thuê xe tự lái đa phần là du khách, họ cần có "niềm tin" để chuyển khoản tiền cọc thông qua Web. Nền tảng của nhóm cần có các cơ chế đảm bảo an toàn giao dịch và chính sách ưu đãi để khuyến khích đặt xe online.</w:t>
            </w:r>
          </w:p>
        </w:tc>
      </w:tr>
    </w:tbl>
    <w:p w14:paraId="139BE164"/>
    <w:tbl>
      <w:tblPr>
        <w:tblStyle w:val="12"/>
        <w:tblW w:w="0" w:type="auto"/>
        <w:jc w:val="center"/>
        <w:tblLayout w:type="autofit"/>
        <w:tblCellMar>
          <w:top w:w="0" w:type="dxa"/>
          <w:left w:w="108" w:type="dxa"/>
          <w:bottom w:w="0" w:type="dxa"/>
          <w:right w:w="108" w:type="dxa"/>
        </w:tblCellMar>
      </w:tblPr>
      <w:tblGrid>
        <w:gridCol w:w="10368"/>
      </w:tblGrid>
      <w:tr w14:paraId="68EE956E">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E2267A2">
            <w:r>
              <w:rPr>
                <w:b/>
              </w:rPr>
              <w:t>Personal Evaluation</w:t>
            </w:r>
          </w:p>
        </w:tc>
      </w:tr>
      <w:tr w14:paraId="5B9BF86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0412ADA3">
            <w:pPr>
              <w:spacing w:after="100"/>
              <w:jc w:val="both"/>
              <w:rPr>
                <w:rFonts w:hint="default"/>
                <w:lang w:val="en-US"/>
              </w:rPr>
            </w:pPr>
            <w:r>
              <w:rPr>
                <w:rFonts w:hint="default"/>
                <w:lang w:val="en-US"/>
              </w:rPr>
              <w:t>Ở phần Introduction và Scope, nhóm có thể hiểu và biện luận lý do tại sao hệ thống không chỉ cần một cổng thanh toán hoạt động được, mà còn cần giao diện minh bạch, quy định hoàn cọc rõ ràng để tạo “Trust” với khách hàng.</w:t>
            </w:r>
          </w:p>
        </w:tc>
      </w:tr>
    </w:tbl>
    <w:p w14:paraId="2F9D3112"/>
    <w:p w14:paraId="62BCF042"/>
    <w:tbl>
      <w:tblPr>
        <w:tblStyle w:val="12"/>
        <w:tblW w:w="0" w:type="auto"/>
        <w:jc w:val="center"/>
        <w:tblLayout w:type="autofit"/>
        <w:tblCellMar>
          <w:top w:w="0" w:type="dxa"/>
          <w:left w:w="108" w:type="dxa"/>
          <w:bottom w:w="0" w:type="dxa"/>
          <w:right w:w="108" w:type="dxa"/>
        </w:tblCellMar>
      </w:tblPr>
      <w:tblGrid>
        <w:gridCol w:w="4806"/>
        <w:gridCol w:w="5922"/>
      </w:tblGrid>
      <w:tr w14:paraId="02DEF380">
        <w:tblPrEx>
          <w:tblCellMar>
            <w:top w:w="0" w:type="dxa"/>
            <w:left w:w="108" w:type="dxa"/>
            <w:bottom w:w="0" w:type="dxa"/>
            <w:right w:w="108" w:type="dxa"/>
          </w:tblCellMar>
        </w:tblPrEx>
        <w:trPr>
          <w:jc w:val="center"/>
        </w:trPr>
        <w:tc>
          <w:tcPr>
            <w:tcW w:w="3312"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21F0ED69">
            <w:r>
              <w:rPr>
                <w:b/>
                <w:color w:val="FFFFFF"/>
                <w:sz w:val="21"/>
              </w:rPr>
              <w:t>Gợi ý áp dụng vào dự án</w:t>
            </w:r>
          </w:p>
        </w:tc>
        <w:tc>
          <w:tcPr>
            <w:tcW w:w="662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7AB03D98">
            <w:r>
              <w:rPr>
                <w:b/>
                <w:color w:val="FFFFFF"/>
                <w:sz w:val="21"/>
              </w:rPr>
              <w:t>Ý nghĩa</w:t>
            </w:r>
          </w:p>
        </w:tc>
      </w:tr>
      <w:tr w14:paraId="405A3910">
        <w:tblPrEx>
          <w:tblCellMar>
            <w:top w:w="0" w:type="dxa"/>
            <w:left w:w="108" w:type="dxa"/>
            <w:bottom w:w="0" w:type="dxa"/>
            <w:right w:w="108" w:type="dxa"/>
          </w:tblCellMar>
        </w:tblPrEx>
        <w:trPr>
          <w:jc w:val="center"/>
        </w:trPr>
        <w:tc>
          <w:tcPr>
            <w:tcW w:w="5184" w:type="dxa"/>
          </w:tcPr>
          <w:p w14:paraId="6240B3A4">
            <w:r>
              <w:t>Xây dựng chính sách bảo mật/Minh bạch tiền cọc</w:t>
            </w:r>
          </w:p>
        </w:tc>
        <w:tc>
          <w:tcPr>
            <w:tcW w:w="5184" w:type="dxa"/>
          </w:tcPr>
          <w:p w14:paraId="16FAC78A">
            <w:r>
              <w:t>Tăng "Trust" (niềm tin) cho khách hàng khi họ phải chuyển khoản số tiền cọc xe khá lớn qua hệ thống.</w:t>
            </w:r>
          </w:p>
        </w:tc>
      </w:tr>
      <w:tr w14:paraId="6667A9A2">
        <w:tblPrEx>
          <w:tblCellMar>
            <w:top w:w="0" w:type="dxa"/>
            <w:left w:w="108" w:type="dxa"/>
            <w:bottom w:w="0" w:type="dxa"/>
            <w:right w:w="108" w:type="dxa"/>
          </w:tblCellMar>
        </w:tblPrEx>
        <w:trPr>
          <w:jc w:val="center"/>
        </w:trPr>
        <w:tc>
          <w:tcPr>
            <w:tcW w:w="5184" w:type="dxa"/>
          </w:tcPr>
          <w:p w14:paraId="61716458">
            <w:r>
              <w:t>Đa dạng hóa phương thức thanh toán</w:t>
            </w:r>
          </w:p>
        </w:tc>
        <w:tc>
          <w:tcPr>
            <w:tcW w:w="5184" w:type="dxa"/>
          </w:tcPr>
          <w:p w14:paraId="119F5112">
            <w:r>
              <w:t>Tăng tính tiện lợi cho du khách, không bắt buộc họ phải dùng một loại thẻ hay ví cố định.</w:t>
            </w:r>
          </w:p>
        </w:tc>
      </w:tr>
      <w:tr w14:paraId="245B24EC">
        <w:tblPrEx>
          <w:tblCellMar>
            <w:top w:w="0" w:type="dxa"/>
            <w:left w:w="108" w:type="dxa"/>
            <w:bottom w:w="0" w:type="dxa"/>
            <w:right w:w="108" w:type="dxa"/>
          </w:tblCellMar>
        </w:tblPrEx>
        <w:trPr>
          <w:jc w:val="center"/>
        </w:trPr>
        <w:tc>
          <w:tcPr>
            <w:tcW w:w="5184" w:type="dxa"/>
          </w:tcPr>
          <w:p w14:paraId="51FE8944">
            <w:r>
              <w:t>Tích hợp mã giảm giá (Voucher/Incentives) khi thanh toán online</w:t>
            </w:r>
          </w:p>
        </w:tc>
        <w:tc>
          <w:tcPr>
            <w:tcW w:w="5184" w:type="dxa"/>
          </w:tcPr>
          <w:p w14:paraId="69E94517">
            <w:r>
              <w:t>Kích thích hành vi thanh toán trước qua ví điện tử thay vì trả tiền mặt khi nhận xe, giúp quản lý dòng tiền tốt hơn.</w:t>
            </w:r>
          </w:p>
        </w:tc>
      </w:tr>
      <w:tr w14:paraId="511EAA73">
        <w:tblPrEx>
          <w:tblCellMar>
            <w:top w:w="0" w:type="dxa"/>
            <w:left w:w="108" w:type="dxa"/>
            <w:bottom w:w="0" w:type="dxa"/>
            <w:right w:w="108" w:type="dxa"/>
          </w:tblCellMar>
        </w:tblPrEx>
        <w:trPr>
          <w:jc w:val="center"/>
        </w:trPr>
        <w:tc>
          <w:tcPr>
            <w:tcW w:w="5184" w:type="dxa"/>
          </w:tcPr>
          <w:p w14:paraId="53A5709B"/>
        </w:tc>
        <w:tc>
          <w:tcPr>
            <w:tcW w:w="5184" w:type="dxa"/>
          </w:tcPr>
          <w:p w14:paraId="17F28795"/>
        </w:tc>
      </w:tr>
    </w:tbl>
    <w:p w14:paraId="5CF60352"/>
    <w:p w14:paraId="298458CA"/>
    <w:p w14:paraId="5CF06A0D"/>
    <w:p w14:paraId="5AA0A447"/>
    <w:p w14:paraId="1FE13E00"/>
    <w:p w14:paraId="7205EDD3"/>
    <w:p w14:paraId="79F52F3D"/>
    <w:p w14:paraId="33D70C90"/>
    <w:p w14:paraId="01965491"/>
    <w:p w14:paraId="0A932438"/>
    <w:p w14:paraId="1672A1A4"/>
    <w:p w14:paraId="6DF5B005"/>
    <w:p w14:paraId="2C098E84"/>
    <w:p w14:paraId="5142F2E5"/>
    <w:p w14:paraId="15C753E5"/>
    <w:p w14:paraId="7A7F6882"/>
    <w:p w14:paraId="0124B278"/>
    <w:p w14:paraId="2523DE12"/>
    <w:p w14:paraId="324C4C2F"/>
    <w:p w14:paraId="2A0CB7CC"/>
    <w:p w14:paraId="055B3C42"/>
    <w:p w14:paraId="52D171C1"/>
    <w:p w14:paraId="311C5613"/>
    <w:p w14:paraId="7055285D"/>
    <w:p w14:paraId="42B1EDDD"/>
    <w:p w14:paraId="1DB1C7D8">
      <w:bookmarkStart w:id="0" w:name="_GoBack"/>
      <w:bookmarkEnd w:id="0"/>
    </w:p>
    <w:p w14:paraId="33750194"/>
    <w:tbl>
      <w:tblPr>
        <w:tblStyle w:val="12"/>
        <w:tblW w:w="0" w:type="auto"/>
        <w:jc w:val="center"/>
        <w:tblLayout w:type="autofit"/>
        <w:tblCellMar>
          <w:top w:w="0" w:type="dxa"/>
          <w:left w:w="108" w:type="dxa"/>
          <w:bottom w:w="0" w:type="dxa"/>
          <w:right w:w="108" w:type="dxa"/>
        </w:tblCellMar>
      </w:tblPr>
      <w:tblGrid>
        <w:gridCol w:w="2232"/>
        <w:gridCol w:w="8136"/>
      </w:tblGrid>
      <w:tr w14:paraId="5EE27B24">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67595625">
            <w:pPr>
              <w:rPr>
                <w:rFonts w:hint="default"/>
                <w:lang w:val="en-US"/>
              </w:rPr>
            </w:pPr>
            <w:r>
              <w:rPr>
                <w:rFonts w:hint="default"/>
                <w:b/>
                <w:color w:val="1F4E79"/>
                <w:sz w:val="28"/>
                <w:lang w:val="en-US"/>
              </w:rPr>
              <w:t>3</w:t>
            </w:r>
            <w:r>
              <w:rPr>
                <w:b/>
                <w:color w:val="1F4E79"/>
                <w:sz w:val="28"/>
              </w:rPr>
              <w:t xml:space="preserve">. PAPER </w:t>
            </w:r>
            <w:r>
              <w:rPr>
                <w:rFonts w:hint="default"/>
                <w:b/>
                <w:color w:val="1F4E79"/>
                <w:sz w:val="28"/>
                <w:lang w:val="en-US"/>
              </w:rPr>
              <w:t>2</w:t>
            </w:r>
            <w:r>
              <w:rPr>
                <w:b/>
                <w:color w:val="1F4E79"/>
                <w:sz w:val="28"/>
              </w:rPr>
              <w:t xml:space="preserve">: </w:t>
            </w:r>
            <w:r>
              <w:rPr>
                <w:rFonts w:hint="default"/>
                <w:b/>
                <w:color w:val="1F4E79"/>
                <w:sz w:val="28"/>
                <w:lang w:val="en-US"/>
              </w:rPr>
              <w:t>UNLOCKING E-WALLET POTENTIAL IN EMERGING E-COMMERCE: REGION-BASED EVIDENCE FROM VIETNAM’S SMALL ONLINE STORES.</w:t>
            </w:r>
          </w:p>
        </w:tc>
      </w:tr>
      <w:tr w14:paraId="3BACA7AB">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9EC2D4A">
            <w:pPr>
              <w:spacing w:after="40"/>
            </w:pPr>
            <w:r>
              <w:rPr>
                <w:b/>
                <w:sz w:val="21"/>
              </w:rPr>
              <w:t>Paper Title</w:t>
            </w:r>
          </w:p>
        </w:tc>
        <w:tc>
          <w:tcPr>
            <w:tcW w:w="7704" w:type="dxa"/>
            <w:tcBorders>
              <w:top w:val="single" w:color="5B9BD5" w:sz="8" w:space="0"/>
              <w:left w:val="single" w:color="5B9BD5" w:sz="8" w:space="0"/>
              <w:bottom w:val="single" w:color="5B9BD5" w:sz="8" w:space="0"/>
              <w:right w:val="single" w:color="5B9BD5" w:sz="8" w:space="0"/>
            </w:tcBorders>
            <w:vAlign w:val="center"/>
          </w:tcPr>
          <w:p w14:paraId="38A102BC">
            <w:pPr>
              <w:spacing w:after="40"/>
              <w:rPr>
                <w:rFonts w:hint="default" w:ascii="Times New Roman" w:hAnsi="Times New Roman" w:cs="Times New Roman"/>
                <w:sz w:val="22"/>
                <w:szCs w:val="22"/>
              </w:rPr>
            </w:pPr>
            <w:r>
              <w:rPr>
                <w:rFonts w:hint="default" w:ascii="Times New Roman" w:hAnsi="Times New Roman" w:cs="Times New Roman"/>
                <w:sz w:val="22"/>
                <w:szCs w:val="22"/>
              </w:rPr>
              <w:t>Unlocking E-Wallet Potential in Emerging E-Commerce: Region-Based Evidence from Vietnam's Small Online Stores</w:t>
            </w:r>
          </w:p>
        </w:tc>
      </w:tr>
      <w:tr w14:paraId="77DEF9A5">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FFE6B9">
            <w:pPr>
              <w:spacing w:after="40"/>
            </w:pPr>
            <w:r>
              <w:rPr>
                <w:b/>
                <w:sz w:val="21"/>
              </w:rPr>
              <w:t>Authors</w:t>
            </w:r>
          </w:p>
        </w:tc>
        <w:tc>
          <w:tcPr>
            <w:tcW w:w="7704" w:type="dxa"/>
            <w:tcBorders>
              <w:top w:val="single" w:color="5B9BD5" w:sz="8" w:space="0"/>
              <w:left w:val="single" w:color="5B9BD5" w:sz="8" w:space="0"/>
              <w:bottom w:val="single" w:color="5B9BD5" w:sz="8" w:space="0"/>
              <w:right w:val="single" w:color="5B9BD5" w:sz="8" w:space="0"/>
            </w:tcBorders>
            <w:vAlign w:val="center"/>
          </w:tcPr>
          <w:p w14:paraId="2C4002E8">
            <w:pPr>
              <w:spacing w:after="40"/>
              <w:rPr>
                <w:rFonts w:hint="default" w:ascii="Times New Roman" w:hAnsi="Times New Roman" w:cs="Times New Roman"/>
                <w:sz w:val="22"/>
                <w:szCs w:val="22"/>
              </w:rPr>
            </w:pPr>
            <w:r>
              <w:rPr>
                <w:rFonts w:hint="default" w:ascii="Times New Roman" w:hAnsi="Times New Roman" w:cs="Times New Roman"/>
                <w:sz w:val="22"/>
                <w:szCs w:val="22"/>
              </w:rPr>
              <w:t>Uyen Minh Vu, Luan Trong Nguyen, Giang Tien Thi Nguyen, Tran Luu</w:t>
            </w:r>
          </w:p>
        </w:tc>
      </w:tr>
      <w:tr w14:paraId="799DFD53">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A5B70D">
            <w:pPr>
              <w:spacing w:after="40"/>
              <w:rPr>
                <w:rFonts w:hint="default"/>
                <w:lang w:val="en-US"/>
              </w:rPr>
            </w:pPr>
            <w:r>
              <w:rPr>
                <w:rFonts w:hint="default"/>
                <w:b/>
                <w:sz w:val="21"/>
                <w:lang w:val="en-US"/>
              </w:rPr>
              <w:t>Published</w:t>
            </w:r>
          </w:p>
        </w:tc>
        <w:tc>
          <w:tcPr>
            <w:tcW w:w="7704" w:type="dxa"/>
            <w:tcBorders>
              <w:top w:val="single" w:color="5B9BD5" w:sz="8" w:space="0"/>
              <w:left w:val="single" w:color="5B9BD5" w:sz="8" w:space="0"/>
              <w:bottom w:val="single" w:color="5B9BD5" w:sz="8" w:space="0"/>
              <w:right w:val="single" w:color="5B9BD5" w:sz="8" w:space="0"/>
            </w:tcBorders>
            <w:vAlign w:val="center"/>
          </w:tcPr>
          <w:p w14:paraId="345DB82B">
            <w:pPr>
              <w:spacing w:after="40"/>
              <w:rPr>
                <w:rFonts w:hint="default" w:ascii="Times New Roman" w:hAnsi="Times New Roman" w:cs="Times New Roman"/>
                <w:sz w:val="22"/>
                <w:szCs w:val="22"/>
                <w:lang w:val="en-US"/>
              </w:rPr>
            </w:pPr>
            <w:r>
              <w:rPr>
                <w:rFonts w:hint="default" w:ascii="Times New Roman" w:hAnsi="Times New Roman" w:cs="Times New Roman"/>
                <w:sz w:val="22"/>
                <w:szCs w:val="22"/>
                <w:lang w:val="en-US"/>
              </w:rPr>
              <w:t>01 April 2026</w:t>
            </w:r>
          </w:p>
        </w:tc>
      </w:tr>
      <w:tr w14:paraId="4D41D867">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6E30B34">
            <w:pPr>
              <w:spacing w:after="40"/>
            </w:pPr>
            <w:r>
              <w:rPr>
                <w:b/>
                <w:sz w:val="21"/>
              </w:rPr>
              <w:t>Source / Publisher</w:t>
            </w:r>
          </w:p>
        </w:tc>
        <w:tc>
          <w:tcPr>
            <w:tcW w:w="7704" w:type="dxa"/>
            <w:tcBorders>
              <w:top w:val="single" w:color="5B9BD5" w:sz="8" w:space="0"/>
              <w:left w:val="single" w:color="5B9BD5" w:sz="8" w:space="0"/>
              <w:bottom w:val="single" w:color="5B9BD5" w:sz="8" w:space="0"/>
              <w:right w:val="single" w:color="5B9BD5" w:sz="8" w:space="0"/>
            </w:tcBorders>
            <w:vAlign w:val="center"/>
          </w:tcPr>
          <w:p w14:paraId="33F8618C">
            <w:pPr>
              <w:spacing w:after="40"/>
              <w:rPr>
                <w:rFonts w:hint="default" w:ascii="Times New Roman" w:hAnsi="Times New Roman" w:cs="Times New Roman"/>
                <w:sz w:val="22"/>
                <w:szCs w:val="22"/>
              </w:rPr>
            </w:pPr>
            <w:r>
              <w:rPr>
                <w:rFonts w:hint="default" w:ascii="Times New Roman" w:hAnsi="Times New Roman" w:cs="Times New Roman"/>
                <w:sz w:val="22"/>
                <w:szCs w:val="22"/>
              </w:rPr>
              <w:t>Advances in Information and Communication Technology - Springer Nature</w:t>
            </w:r>
          </w:p>
        </w:tc>
      </w:tr>
      <w:tr w14:paraId="7517E9B9">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441F45D">
            <w:pPr>
              <w:spacing w:after="40"/>
            </w:pPr>
            <w:r>
              <w:rPr>
                <w:b/>
                <w:sz w:val="21"/>
              </w:rPr>
              <w:t>DOI</w:t>
            </w:r>
          </w:p>
        </w:tc>
        <w:tc>
          <w:tcPr>
            <w:tcW w:w="7704" w:type="dxa"/>
            <w:tcBorders>
              <w:top w:val="single" w:color="5B9BD5" w:sz="8" w:space="0"/>
              <w:left w:val="single" w:color="5B9BD5" w:sz="8" w:space="0"/>
              <w:bottom w:val="single" w:color="5B9BD5" w:sz="8" w:space="0"/>
              <w:right w:val="single" w:color="5B9BD5" w:sz="8" w:space="0"/>
            </w:tcBorders>
            <w:vAlign w:val="center"/>
          </w:tcPr>
          <w:p w14:paraId="48ABED73">
            <w:pPr>
              <w:spacing w:after="40"/>
              <w:rPr>
                <w:rFonts w:hint="default" w:ascii="Times New Roman" w:hAnsi="Times New Roman" w:cs="Times New Roman"/>
                <w:sz w:val="22"/>
                <w:szCs w:val="22"/>
              </w:rPr>
            </w:pPr>
            <w:r>
              <w:rPr>
                <w:rFonts w:hint="default" w:ascii="Times New Roman" w:hAnsi="Times New Roman" w:cs="Times New Roman"/>
                <w:sz w:val="22"/>
                <w:szCs w:val="22"/>
              </w:rPr>
              <w:t>10.1007/978-3-032-18162-6_46</w:t>
            </w:r>
          </w:p>
        </w:tc>
      </w:tr>
      <w:tr w14:paraId="2F2427BC">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1F215BC">
            <w:pPr>
              <w:spacing w:after="40"/>
            </w:pPr>
            <w:r>
              <w:rPr>
                <w:b/>
                <w:sz w:val="21"/>
              </w:rPr>
              <w:t>Keywords</w:t>
            </w:r>
          </w:p>
        </w:tc>
        <w:tc>
          <w:tcPr>
            <w:tcW w:w="7704" w:type="dxa"/>
            <w:tcBorders>
              <w:top w:val="single" w:color="5B9BD5" w:sz="8" w:space="0"/>
              <w:left w:val="single" w:color="5B9BD5" w:sz="8" w:space="0"/>
              <w:bottom w:val="single" w:color="5B9BD5" w:sz="8" w:space="0"/>
              <w:right w:val="single" w:color="5B9BD5" w:sz="8" w:space="0"/>
            </w:tcBorders>
            <w:vAlign w:val="center"/>
          </w:tcPr>
          <w:p w14:paraId="34795035">
            <w:pPr>
              <w:spacing w:after="40"/>
              <w:rPr>
                <w:rFonts w:hint="default" w:ascii="Times New Roman" w:hAnsi="Times New Roman" w:cs="Times New Roman"/>
                <w:sz w:val="22"/>
                <w:szCs w:val="22"/>
              </w:rPr>
            </w:pPr>
            <w:r>
              <w:rPr>
                <w:rFonts w:hint="default" w:ascii="Times New Roman" w:hAnsi="Times New Roman" w:cs="Times New Roman"/>
                <w:sz w:val="22"/>
                <w:szCs w:val="22"/>
              </w:rPr>
              <w:t>E-Wallet; Emerging E-Commerce; Vietnam; Online Stores; Region-Based Evidence; Digital Payment.</w:t>
            </w:r>
          </w:p>
        </w:tc>
      </w:tr>
      <w:tr w14:paraId="30CB8897">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shd w:val="clear" w:color="auto" w:fill="EAF2F8"/>
            <w:vAlign w:val="center"/>
          </w:tcPr>
          <w:p w14:paraId="1EA3F737">
            <w:r>
              <w:rPr>
                <w:b/>
              </w:rPr>
              <w:t>Research Objective</w:t>
            </w:r>
          </w:p>
        </w:tc>
      </w:tr>
      <w:tr w14:paraId="5A2BE543">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vAlign w:val="center"/>
          </w:tcPr>
          <w:p w14:paraId="473C1E72">
            <w:pPr>
              <w:spacing w:after="100"/>
              <w:jc w:val="both"/>
            </w:pPr>
            <w:r>
              <w:t>Khám phá tiềm năng và thực trạng sử dụng ví điện tử trong bối cảnh thương mại điện tử đang bùng nổ. Nghiên cứu cung cấp bằng chứng thực chứng dựa trên các khu vực địa lý đối với các cửa hàng/doanh nghiệp trực tuyến quy mô nhỏ tại Việt Nam.</w:t>
            </w:r>
          </w:p>
        </w:tc>
      </w:tr>
    </w:tbl>
    <w:p w14:paraId="4A43C6A5"/>
    <w:tbl>
      <w:tblPr>
        <w:tblStyle w:val="12"/>
        <w:tblW w:w="0" w:type="auto"/>
        <w:jc w:val="center"/>
        <w:tblLayout w:type="autofit"/>
        <w:tblCellMar>
          <w:top w:w="0" w:type="dxa"/>
          <w:left w:w="108" w:type="dxa"/>
          <w:bottom w:w="0" w:type="dxa"/>
          <w:right w:w="108" w:type="dxa"/>
        </w:tblCellMar>
      </w:tblPr>
      <w:tblGrid>
        <w:gridCol w:w="10368"/>
      </w:tblGrid>
      <w:tr w14:paraId="4BAD6D88">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AF4DCD1">
            <w:r>
              <w:rPr>
                <w:b/>
              </w:rPr>
              <w:t>Main Content</w:t>
            </w:r>
          </w:p>
        </w:tc>
      </w:tr>
      <w:tr w14:paraId="7AC262E6">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186393EC">
            <w:pPr>
              <w:spacing w:after="100"/>
              <w:jc w:val="both"/>
            </w:pPr>
            <w:r>
              <w:t>Bài báo vẽ ra bức tranh toàn cảnh về việc áp dụng ví điện tử tại các cửa hàng trực tuyến vừa và nhỏ ở Việt Nam. Nghiên cứu phân tích các yếu tố đặc thù về vùng miền ảnh hưởng đến mức độ phổ biến của thanh toán số.</w:t>
            </w:r>
          </w:p>
        </w:tc>
      </w:tr>
    </w:tbl>
    <w:p w14:paraId="6F590665"/>
    <w:tbl>
      <w:tblPr>
        <w:tblStyle w:val="12"/>
        <w:tblW w:w="0" w:type="auto"/>
        <w:jc w:val="center"/>
        <w:tblLayout w:type="autofit"/>
        <w:tblCellMar>
          <w:top w:w="0" w:type="dxa"/>
          <w:left w:w="108" w:type="dxa"/>
          <w:bottom w:w="0" w:type="dxa"/>
          <w:right w:w="108" w:type="dxa"/>
        </w:tblCellMar>
      </w:tblPr>
      <w:tblGrid>
        <w:gridCol w:w="10368"/>
      </w:tblGrid>
      <w:tr w14:paraId="6729A95C">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BCFB5A7">
            <w:r>
              <w:rPr>
                <w:b/>
              </w:rPr>
              <w:t>Method / Technology Used</w:t>
            </w:r>
          </w:p>
        </w:tc>
      </w:tr>
      <w:tr w14:paraId="3D880ED5">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5DA8FAA0">
            <w:pPr>
              <w:spacing w:after="100"/>
              <w:jc w:val="both"/>
            </w:pPr>
            <w:r>
              <w:rPr>
                <w:rFonts w:hint="default"/>
              </w:rPr>
              <w:t xml:space="preserve"> Thu thập dữ liệu thực tế (Region-Based Evidence) từ các mô hình kinh doanh nhỏ lẻ tại Việt Nam, sử dụng phân tích thống kê để đánh giá mức độ thâm nhập của ví điện tử.</w:t>
            </w:r>
          </w:p>
        </w:tc>
      </w:tr>
    </w:tbl>
    <w:p w14:paraId="6DB8BBA7"/>
    <w:tbl>
      <w:tblPr>
        <w:tblStyle w:val="12"/>
        <w:tblW w:w="0" w:type="auto"/>
        <w:jc w:val="center"/>
        <w:tblLayout w:type="autofit"/>
        <w:tblCellMar>
          <w:top w:w="0" w:type="dxa"/>
          <w:left w:w="108" w:type="dxa"/>
          <w:bottom w:w="0" w:type="dxa"/>
          <w:right w:w="108" w:type="dxa"/>
        </w:tblCellMar>
      </w:tblPr>
      <w:tblGrid>
        <w:gridCol w:w="10368"/>
      </w:tblGrid>
      <w:tr w14:paraId="49304D9F">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7BB2FB8">
            <w:r>
              <w:rPr>
                <w:b/>
              </w:rPr>
              <w:t>Key Findings</w:t>
            </w:r>
          </w:p>
        </w:tc>
      </w:tr>
      <w:tr w14:paraId="0A22441E">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3BCB818">
            <w:pPr>
              <w:spacing w:after="100"/>
              <w:jc w:val="both"/>
            </w:pPr>
            <w:r>
              <w:t>Việc chấp nhận thanh toán qua ví điện tử tại Việt Nam phụ thuộc nhiều vào yếu tố khu vực và đặc thù của doanh nghiệp. Tích hợp ví điện tử là bước đi bắt buộc để các cửa hàng nhỏ tiếp cận được lượng khách hàng trẻ và tăng cường doanh thu.</w:t>
            </w:r>
          </w:p>
        </w:tc>
      </w:tr>
    </w:tbl>
    <w:p w14:paraId="40F9557A"/>
    <w:tbl>
      <w:tblPr>
        <w:tblStyle w:val="12"/>
        <w:tblW w:w="0" w:type="auto"/>
        <w:jc w:val="center"/>
        <w:tblLayout w:type="autofit"/>
        <w:tblCellMar>
          <w:top w:w="0" w:type="dxa"/>
          <w:left w:w="108" w:type="dxa"/>
          <w:bottom w:w="0" w:type="dxa"/>
          <w:right w:w="108" w:type="dxa"/>
        </w:tblCellMar>
      </w:tblPr>
      <w:tblGrid>
        <w:gridCol w:w="10368"/>
      </w:tblGrid>
      <w:tr w14:paraId="00564ADE">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96B274B">
            <w:r>
              <w:rPr>
                <w:b/>
              </w:rPr>
              <w:t>Advantages</w:t>
            </w:r>
          </w:p>
        </w:tc>
      </w:tr>
      <w:tr w14:paraId="7D970CB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5DAEA869">
            <w:pPr>
              <w:spacing w:after="100"/>
              <w:jc w:val="both"/>
            </w:pPr>
            <w:r>
              <w:t>Điểm mạnh tuyệt đối của bài báo là dữ liệu gốc từ thị trường Việt Nam, mang lại tính thực tế 100% cho dự án môn học.</w:t>
            </w:r>
          </w:p>
        </w:tc>
      </w:tr>
    </w:tbl>
    <w:p w14:paraId="7BBA96E3"/>
    <w:tbl>
      <w:tblPr>
        <w:tblStyle w:val="12"/>
        <w:tblW w:w="0" w:type="auto"/>
        <w:jc w:val="center"/>
        <w:tblLayout w:type="autofit"/>
        <w:tblCellMar>
          <w:top w:w="0" w:type="dxa"/>
          <w:left w:w="108" w:type="dxa"/>
          <w:bottom w:w="0" w:type="dxa"/>
          <w:right w:w="108" w:type="dxa"/>
        </w:tblCellMar>
      </w:tblPr>
      <w:tblGrid>
        <w:gridCol w:w="10368"/>
      </w:tblGrid>
      <w:tr w14:paraId="669B9809">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DA8E8FC">
            <w:r>
              <w:rPr>
                <w:b/>
              </w:rPr>
              <w:t>Limitations</w:t>
            </w:r>
          </w:p>
        </w:tc>
      </w:tr>
      <w:tr w14:paraId="43253EDD">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466EA22A">
            <w:pPr>
              <w:spacing w:after="100"/>
              <w:jc w:val="both"/>
            </w:pPr>
            <w:r>
              <w:t>Tập trung phân tích các cửa hàng bán lẻ trực tuyến (Small Online Stores) thay vì nền tảng chia sẻ/thuê xe (mobility platform). Do đó cần điều chỉnh góc nhìn cho phù hợp với dịch vụ cho thuê.</w:t>
            </w:r>
          </w:p>
        </w:tc>
      </w:tr>
    </w:tbl>
    <w:p w14:paraId="5A819636"/>
    <w:tbl>
      <w:tblPr>
        <w:tblStyle w:val="12"/>
        <w:tblW w:w="0" w:type="auto"/>
        <w:jc w:val="center"/>
        <w:tblLayout w:type="autofit"/>
        <w:tblCellMar>
          <w:top w:w="0" w:type="dxa"/>
          <w:left w:w="108" w:type="dxa"/>
          <w:bottom w:w="0" w:type="dxa"/>
          <w:right w:w="108" w:type="dxa"/>
        </w:tblCellMar>
      </w:tblPr>
      <w:tblGrid>
        <w:gridCol w:w="10368"/>
      </w:tblGrid>
      <w:tr w14:paraId="6B2969BB">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B262CDA">
            <w:r>
              <w:rPr>
                <w:b/>
              </w:rPr>
              <w:t>Relevance to Our Project</w:t>
            </w:r>
          </w:p>
        </w:tc>
      </w:tr>
      <w:tr w14:paraId="25F87D0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3BAF078">
            <w:pPr>
              <w:spacing w:after="100"/>
              <w:jc w:val="both"/>
            </w:pPr>
            <w:r>
              <w:t>Web</w:t>
            </w:r>
            <w:r>
              <w:rPr>
                <w:rFonts w:hint="default"/>
                <w:lang w:val="en-US"/>
              </w:rPr>
              <w:t>/A</w:t>
            </w:r>
            <w:r>
              <w:t>pp thuê xe của nhóm hoạt động tại Việt Nam. Việc hiểu thói quen sử dụng ví điện tử của người Việt Nam (như MoMo, ZaloPay, VNPAY) là căn cứ không thể thiếu để chốt danh sách các API thanh toán cần tích hợp.</w:t>
            </w:r>
          </w:p>
        </w:tc>
      </w:tr>
    </w:tbl>
    <w:p w14:paraId="353FEAE1"/>
    <w:tbl>
      <w:tblPr>
        <w:tblStyle w:val="12"/>
        <w:tblW w:w="0" w:type="auto"/>
        <w:jc w:val="center"/>
        <w:tblLayout w:type="autofit"/>
        <w:tblCellMar>
          <w:top w:w="0" w:type="dxa"/>
          <w:left w:w="108" w:type="dxa"/>
          <w:bottom w:w="0" w:type="dxa"/>
          <w:right w:w="108" w:type="dxa"/>
        </w:tblCellMar>
      </w:tblPr>
      <w:tblGrid>
        <w:gridCol w:w="10368"/>
      </w:tblGrid>
      <w:tr w14:paraId="7B1D1B7F">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7F6E6D3">
            <w:r>
              <w:rPr>
                <w:b/>
              </w:rPr>
              <w:t>Personal Evaluation</w:t>
            </w:r>
          </w:p>
        </w:tc>
      </w:tr>
      <w:tr w14:paraId="74173206">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AFBA012">
            <w:pPr>
              <w:spacing w:after="100"/>
              <w:jc w:val="left"/>
              <w:rPr>
                <w:rFonts w:hint="default"/>
                <w:lang w:val="en-US"/>
              </w:rPr>
            </w:pPr>
            <w:r>
              <w:rPr>
                <w:rFonts w:hint="default"/>
                <w:lang w:val="en-US"/>
              </w:rPr>
              <w:t>Bài báo này cực kỳ giá trị để viết phần Existing Systems trong SRS. Nhóm có thể dùng paper này để chứng minh rằng: Tại Việt Nam, giao dịch số đang bùng nổ, và bất kỳ hệ thống đặt dịch vụ nào hiện nay cũng đang có tích hợp Ví điện tử nội địa để đáp ứng nhu cầu người dùng.</w:t>
            </w:r>
          </w:p>
        </w:tc>
      </w:tr>
    </w:tbl>
    <w:p w14:paraId="7139BAE8"/>
    <w:p w14:paraId="3F46649B"/>
    <w:p w14:paraId="2975131F"/>
    <w:tbl>
      <w:tblPr>
        <w:tblStyle w:val="12"/>
        <w:tblW w:w="0" w:type="auto"/>
        <w:jc w:val="center"/>
        <w:tblLayout w:type="autofit"/>
        <w:tblCellMar>
          <w:top w:w="0" w:type="dxa"/>
          <w:left w:w="108" w:type="dxa"/>
          <w:bottom w:w="0" w:type="dxa"/>
          <w:right w:w="108" w:type="dxa"/>
        </w:tblCellMar>
      </w:tblPr>
      <w:tblGrid>
        <w:gridCol w:w="4734"/>
        <w:gridCol w:w="5994"/>
      </w:tblGrid>
      <w:tr w14:paraId="0321A635">
        <w:tblPrEx>
          <w:tblCellMar>
            <w:top w:w="0" w:type="dxa"/>
            <w:left w:w="108" w:type="dxa"/>
            <w:bottom w:w="0" w:type="dxa"/>
            <w:right w:w="108" w:type="dxa"/>
          </w:tblCellMar>
        </w:tblPrEx>
        <w:trPr>
          <w:jc w:val="center"/>
        </w:trPr>
        <w:tc>
          <w:tcPr>
            <w:tcW w:w="473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5DB30BB2">
            <w:r>
              <w:rPr>
                <w:b/>
                <w:color w:val="FFFFFF"/>
                <w:sz w:val="21"/>
              </w:rPr>
              <w:t>Gợi ý áp dụng vào dự án</w:t>
            </w:r>
          </w:p>
        </w:tc>
        <w:tc>
          <w:tcPr>
            <w:tcW w:w="599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009A0454">
            <w:r>
              <w:rPr>
                <w:b/>
                <w:color w:val="FFFFFF"/>
                <w:sz w:val="21"/>
              </w:rPr>
              <w:t>Ý nghĩa</w:t>
            </w:r>
          </w:p>
        </w:tc>
      </w:tr>
      <w:tr w14:paraId="5C36666E">
        <w:tblPrEx>
          <w:tblCellMar>
            <w:top w:w="0" w:type="dxa"/>
            <w:left w:w="108" w:type="dxa"/>
            <w:bottom w:w="0" w:type="dxa"/>
            <w:right w:w="108" w:type="dxa"/>
          </w:tblCellMar>
        </w:tblPrEx>
        <w:trPr>
          <w:jc w:val="center"/>
        </w:trPr>
        <w:tc>
          <w:tcPr>
            <w:tcW w:w="4734" w:type="dxa"/>
          </w:tcPr>
          <w:p w14:paraId="518C32EE">
            <w:r>
              <w:t>Tích hợp API thanh toán nội địa phổ biến (VNPAY, MoMo)</w:t>
            </w:r>
          </w:p>
        </w:tc>
        <w:tc>
          <w:tcPr>
            <w:tcW w:w="5994" w:type="dxa"/>
          </w:tcPr>
          <w:p w14:paraId="3B4C839A">
            <w:r>
              <w:t>Phù hợp với thói quen sử dụng Ví điện tử của người tiêu dùng tại thị trường Việt Nam theo nghiên cứu.</w:t>
            </w:r>
          </w:p>
        </w:tc>
      </w:tr>
      <w:tr w14:paraId="0425BB36">
        <w:tblPrEx>
          <w:tblCellMar>
            <w:top w:w="0" w:type="dxa"/>
            <w:left w:w="108" w:type="dxa"/>
            <w:bottom w:w="0" w:type="dxa"/>
            <w:right w:w="108" w:type="dxa"/>
          </w:tblCellMar>
        </w:tblPrEx>
        <w:trPr>
          <w:jc w:val="center"/>
        </w:trPr>
        <w:tc>
          <w:tcPr>
            <w:tcW w:w="4734" w:type="dxa"/>
          </w:tcPr>
          <w:p w14:paraId="1C84F2FD">
            <w:r>
              <w:t>Thiết kế UI/UX quy trình thanh toán tối giản</w:t>
            </w:r>
          </w:p>
        </w:tc>
        <w:tc>
          <w:tcPr>
            <w:tcW w:w="5994" w:type="dxa"/>
          </w:tcPr>
          <w:p w14:paraId="458E8401">
            <w:r>
              <w:t>Dựa trên thói quen mua sắm trực tuyến của người Việt, giúp khách hàng đặt xe và chuyển cọc chỉ trong vài lượt click.</w:t>
            </w:r>
          </w:p>
        </w:tc>
      </w:tr>
      <w:tr w14:paraId="2EE4D3D9">
        <w:tblPrEx>
          <w:tblCellMar>
            <w:top w:w="0" w:type="dxa"/>
            <w:left w:w="108" w:type="dxa"/>
            <w:bottom w:w="0" w:type="dxa"/>
            <w:right w:w="108" w:type="dxa"/>
          </w:tblCellMar>
        </w:tblPrEx>
        <w:trPr>
          <w:jc w:val="center"/>
        </w:trPr>
        <w:tc>
          <w:tcPr>
            <w:tcW w:w="4734" w:type="dxa"/>
          </w:tcPr>
          <w:p w14:paraId="1C1D49BC"/>
        </w:tc>
        <w:tc>
          <w:tcPr>
            <w:tcW w:w="5994" w:type="dxa"/>
          </w:tcPr>
          <w:p w14:paraId="15125A32"/>
        </w:tc>
      </w:tr>
    </w:tbl>
    <w:p w14:paraId="6BE82982"/>
    <w:p w14:paraId="3C46C4F9">
      <w:r>
        <w:br w:type="page"/>
      </w:r>
    </w:p>
    <w:tbl>
      <w:tblPr>
        <w:tblStyle w:val="12"/>
        <w:tblW w:w="0" w:type="auto"/>
        <w:jc w:val="center"/>
        <w:tblLayout w:type="autofit"/>
        <w:tblCellMar>
          <w:top w:w="0" w:type="dxa"/>
          <w:left w:w="108" w:type="dxa"/>
          <w:bottom w:w="0" w:type="dxa"/>
          <w:right w:w="108" w:type="dxa"/>
        </w:tblCellMar>
      </w:tblPr>
      <w:tblGrid>
        <w:gridCol w:w="2138"/>
        <w:gridCol w:w="4054"/>
        <w:gridCol w:w="4536"/>
      </w:tblGrid>
      <w:tr w14:paraId="3984414E">
        <w:tblPrEx>
          <w:tblCellMar>
            <w:top w:w="0" w:type="dxa"/>
            <w:left w:w="108" w:type="dxa"/>
            <w:bottom w:w="0" w:type="dxa"/>
            <w:right w:w="108" w:type="dxa"/>
          </w:tblCellMar>
        </w:tblPrEx>
        <w:trPr>
          <w:jc w:val="center"/>
        </w:trPr>
        <w:tc>
          <w:tcPr>
            <w:tcW w:w="10728" w:type="dxa"/>
            <w:gridSpan w:val="3"/>
            <w:tcBorders>
              <w:top w:val="single" w:color="1F4E79" w:sz="12" w:space="0"/>
              <w:left w:val="single" w:color="1F4E79" w:sz="12" w:space="0"/>
              <w:bottom w:val="single" w:color="1F4E79" w:sz="12" w:space="0"/>
              <w:right w:val="single" w:color="1F4E79" w:sz="12" w:space="0"/>
            </w:tcBorders>
            <w:shd w:val="clear" w:color="auto" w:fill="D9EAF7"/>
            <w:vAlign w:val="center"/>
          </w:tcPr>
          <w:p w14:paraId="01FF4845">
            <w:r>
              <w:rPr>
                <w:b/>
                <w:color w:val="1F4E79"/>
                <w:sz w:val="28"/>
              </w:rPr>
              <w:t>4. BẢNG SO SÁNH 2 PAPER</w:t>
            </w:r>
          </w:p>
        </w:tc>
      </w:tr>
      <w:tr w14:paraId="3CAE374E">
        <w:tblPrEx>
          <w:tblCellMar>
            <w:top w:w="0" w:type="dxa"/>
            <w:left w:w="108" w:type="dxa"/>
            <w:bottom w:w="0" w:type="dxa"/>
            <w:right w:w="108" w:type="dxa"/>
          </w:tblCellMar>
        </w:tblPrEx>
        <w:trPr>
          <w:jc w:val="center"/>
        </w:trPr>
        <w:tc>
          <w:tcPr>
            <w:tcW w:w="213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21CA16B2">
            <w:r>
              <w:rPr>
                <w:b/>
                <w:color w:val="FFFFFF"/>
                <w:sz w:val="20"/>
              </w:rPr>
              <w:t>Tiêu chí</w:t>
            </w:r>
          </w:p>
        </w:tc>
        <w:tc>
          <w:tcPr>
            <w:tcW w:w="405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60D56E79">
            <w:r>
              <w:rPr>
                <w:rFonts w:hint="default" w:eastAsia="SimSun" w:cs="Times New Roman"/>
                <w:b/>
                <w:bCs/>
                <w:color w:val="FFFFFF" w:themeColor="background1"/>
                <w:sz w:val="22"/>
                <w:szCs w:val="22"/>
                <w:lang w:val="en-US"/>
                <w14:textFill>
                  <w14:solidFill>
                    <w14:schemeClr w14:val="bg1"/>
                  </w14:solidFill>
                </w14:textFill>
              </w:rPr>
              <w:t>P</w:t>
            </w:r>
            <w:r>
              <w:rPr>
                <w:rFonts w:hint="default" w:ascii="Times New Roman" w:hAnsi="Times New Roman" w:eastAsia="SimSun" w:cs="Times New Roman"/>
                <w:b/>
                <w:bCs/>
                <w:color w:val="FFFFFF" w:themeColor="background1"/>
                <w:sz w:val="22"/>
                <w:szCs w:val="22"/>
                <w14:textFill>
                  <w14:solidFill>
                    <w14:schemeClr w14:val="bg1"/>
                  </w14:solidFill>
                </w14:textFill>
              </w:rPr>
              <w:t xml:space="preserve">aper 1: </w:t>
            </w:r>
          </w:p>
        </w:tc>
        <w:tc>
          <w:tcPr>
            <w:tcW w:w="4536"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76FC008E">
            <w:r>
              <w:rPr>
                <w:rFonts w:hint="default"/>
                <w:b/>
                <w:bCs/>
                <w:color w:val="FFFFFF" w:themeColor="background1"/>
                <w14:textFill>
                  <w14:solidFill>
                    <w14:schemeClr w14:val="bg1"/>
                  </w14:solidFill>
                </w14:textFill>
              </w:rPr>
              <w:t xml:space="preserve">Paper 2: </w:t>
            </w:r>
          </w:p>
        </w:tc>
      </w:tr>
      <w:tr w14:paraId="68D282A3">
        <w:tblPrEx>
          <w:tblCellMar>
            <w:top w:w="0" w:type="dxa"/>
            <w:left w:w="108" w:type="dxa"/>
            <w:bottom w:w="0" w:type="dxa"/>
            <w:right w:w="108" w:type="dxa"/>
          </w:tblCellMar>
        </w:tblPrEx>
        <w:trPr>
          <w:jc w:val="center"/>
        </w:trPr>
        <w:tc>
          <w:tcPr>
            <w:tcW w:w="2138" w:type="dxa"/>
          </w:tcPr>
          <w:p w14:paraId="028C7E96">
            <w:pPr>
              <w:jc w:val="both"/>
              <w:rPr>
                <w:sz w:val="22"/>
                <w:szCs w:val="22"/>
              </w:rPr>
            </w:pPr>
            <w:r>
              <w:rPr>
                <w:sz w:val="22"/>
                <w:szCs w:val="22"/>
              </w:rPr>
              <w:t>Trọng tâm nghiên cứu</w:t>
            </w:r>
          </w:p>
        </w:tc>
        <w:tc>
          <w:tcPr>
            <w:tcW w:w="4054" w:type="dxa"/>
          </w:tcPr>
          <w:p w14:paraId="62E0EC66">
            <w:pPr>
              <w:jc w:val="both"/>
              <w:rPr>
                <w:sz w:val="22"/>
                <w:szCs w:val="22"/>
              </w:rPr>
            </w:pPr>
            <w:r>
              <w:rPr>
                <w:sz w:val="22"/>
                <w:szCs w:val="22"/>
              </w:rPr>
              <w:t>Đánh giá vai trò của "niềm tin" (trust) và "chính sách ưu đãi" (incentives) đối với việc sử dụng ví điện tử của khách du lịch.</w:t>
            </w:r>
          </w:p>
        </w:tc>
        <w:tc>
          <w:tcPr>
            <w:tcW w:w="4536" w:type="dxa"/>
          </w:tcPr>
          <w:p w14:paraId="69D9EFD4">
            <w:pPr>
              <w:jc w:val="both"/>
              <w:rPr>
                <w:sz w:val="22"/>
                <w:szCs w:val="22"/>
              </w:rPr>
            </w:pPr>
            <w:r>
              <w:rPr>
                <w:sz w:val="22"/>
                <w:szCs w:val="22"/>
              </w:rPr>
              <w:t>Phân tích tiềm năng, mức độ phổ biến và đặc thù vùng miền của ví điện tử tại các doanh nghiệp/cửa hàng trực tuyến ở Việt Nam.</w:t>
            </w:r>
          </w:p>
        </w:tc>
      </w:tr>
      <w:tr w14:paraId="5D91B204">
        <w:tblPrEx>
          <w:tblCellMar>
            <w:top w:w="0" w:type="dxa"/>
            <w:left w:w="108" w:type="dxa"/>
            <w:bottom w:w="0" w:type="dxa"/>
            <w:right w:w="108" w:type="dxa"/>
          </w:tblCellMar>
        </w:tblPrEx>
        <w:trPr>
          <w:jc w:val="center"/>
        </w:trPr>
        <w:tc>
          <w:tcPr>
            <w:tcW w:w="2138" w:type="dxa"/>
          </w:tcPr>
          <w:p w14:paraId="6EEA9342">
            <w:pPr>
              <w:jc w:val="both"/>
              <w:rPr>
                <w:sz w:val="22"/>
                <w:szCs w:val="22"/>
              </w:rPr>
            </w:pPr>
            <w:r>
              <w:rPr>
                <w:sz w:val="22"/>
                <w:szCs w:val="22"/>
              </w:rPr>
              <w:t>Liên quan đến dự án</w:t>
            </w:r>
          </w:p>
        </w:tc>
        <w:tc>
          <w:tcPr>
            <w:tcW w:w="4054" w:type="dxa"/>
          </w:tcPr>
          <w:p w14:paraId="38204855">
            <w:pPr>
              <w:jc w:val="both"/>
              <w:rPr>
                <w:sz w:val="22"/>
                <w:szCs w:val="22"/>
              </w:rPr>
            </w:pPr>
            <w:r>
              <w:rPr>
                <w:sz w:val="22"/>
                <w:szCs w:val="22"/>
              </w:rPr>
              <w:t>Trực tiếp giải quyết rào cản tâm lý của người dùng khi phải giao dịch số tiền cọc lớn qua mạng; phù hợp vì tệp khách thuê xe đa phần là du khách.</w:t>
            </w:r>
          </w:p>
        </w:tc>
        <w:tc>
          <w:tcPr>
            <w:tcW w:w="4536" w:type="dxa"/>
          </w:tcPr>
          <w:p w14:paraId="4983BA5F">
            <w:pPr>
              <w:jc w:val="both"/>
              <w:rPr>
                <w:sz w:val="22"/>
                <w:szCs w:val="22"/>
              </w:rPr>
            </w:pPr>
            <w:r>
              <w:rPr>
                <w:sz w:val="22"/>
                <w:szCs w:val="22"/>
              </w:rPr>
              <w:t>Cung cấp bằng chứng thực tế tại thị trường Việt Nam, làm cơ sở vững chắc để chọn tích hợp các ví điện tử nội địa (như MoMo, VNPAY).</w:t>
            </w:r>
          </w:p>
        </w:tc>
      </w:tr>
      <w:tr w14:paraId="1E477CC7">
        <w:tblPrEx>
          <w:tblCellMar>
            <w:top w:w="0" w:type="dxa"/>
            <w:left w:w="108" w:type="dxa"/>
            <w:bottom w:w="0" w:type="dxa"/>
            <w:right w:w="108" w:type="dxa"/>
          </w:tblCellMar>
        </w:tblPrEx>
        <w:trPr>
          <w:jc w:val="center"/>
        </w:trPr>
        <w:tc>
          <w:tcPr>
            <w:tcW w:w="2138" w:type="dxa"/>
          </w:tcPr>
          <w:p w14:paraId="396725AF">
            <w:pPr>
              <w:jc w:val="left"/>
              <w:rPr>
                <w:sz w:val="22"/>
                <w:szCs w:val="22"/>
              </w:rPr>
            </w:pPr>
            <w:r>
              <w:rPr>
                <w:sz w:val="22"/>
                <w:szCs w:val="22"/>
              </w:rPr>
              <w:t>Loại</w:t>
            </w:r>
            <w:r>
              <w:rPr>
                <w:rFonts w:hint="default"/>
                <w:sz w:val="22"/>
                <w:szCs w:val="22"/>
                <w:lang w:val="en-US"/>
              </w:rPr>
              <w:t xml:space="preserve"> </w:t>
            </w:r>
            <w:r>
              <w:rPr>
                <w:sz w:val="22"/>
                <w:szCs w:val="22"/>
              </w:rPr>
              <w:t>dữ liệu/phương</w:t>
            </w:r>
            <w:r>
              <w:rPr>
                <w:rFonts w:hint="default"/>
                <w:sz w:val="22"/>
                <w:szCs w:val="22"/>
                <w:lang w:val="en-US"/>
              </w:rPr>
              <w:t xml:space="preserve"> </w:t>
            </w:r>
            <w:r>
              <w:rPr>
                <w:sz w:val="22"/>
                <w:szCs w:val="22"/>
              </w:rPr>
              <w:t>pháp</w:t>
            </w:r>
          </w:p>
        </w:tc>
        <w:tc>
          <w:tcPr>
            <w:tcW w:w="4054" w:type="dxa"/>
          </w:tcPr>
          <w:p w14:paraId="451D896F">
            <w:pPr>
              <w:pStyle w:val="34"/>
              <w:keepNext w:val="0"/>
              <w:keepLines w:val="0"/>
              <w:widowControl/>
              <w:suppressLineNumbers w:val="0"/>
              <w:ind w:left="0" w:leftChars="0" w:right="0" w:rightChars="0"/>
              <w:jc w:val="both"/>
              <w:rPr>
                <w:sz w:val="22"/>
                <w:szCs w:val="22"/>
              </w:rPr>
            </w:pPr>
            <w:r>
              <w:rPr>
                <w:sz w:val="22"/>
                <w:szCs w:val="22"/>
              </w:rPr>
              <w:t>Phân tích định lượng dựa trên mô hình hành vi người dùng, đánh giá các biến số tâm lý và rủi ro cảm nhận được.</w:t>
            </w:r>
          </w:p>
        </w:tc>
        <w:tc>
          <w:tcPr>
            <w:tcW w:w="4536" w:type="dxa"/>
          </w:tcPr>
          <w:p w14:paraId="192E3F84">
            <w:pPr>
              <w:pStyle w:val="34"/>
              <w:keepNext w:val="0"/>
              <w:keepLines w:val="0"/>
              <w:widowControl/>
              <w:suppressLineNumbers w:val="0"/>
              <w:ind w:left="0" w:leftChars="0" w:right="0" w:rightChars="0"/>
              <w:jc w:val="both"/>
              <w:rPr>
                <w:sz w:val="22"/>
                <w:szCs w:val="22"/>
              </w:rPr>
            </w:pPr>
            <w:r>
              <w:rPr>
                <w:sz w:val="22"/>
                <w:szCs w:val="22"/>
              </w:rPr>
              <w:t>Thu thập và phân tích dữ liệu thực tế (Region-Based Evidence) từ các mô hình kinh doanh thương mại điện tử nhỏ tại Việt Nam.</w:t>
            </w:r>
          </w:p>
        </w:tc>
      </w:tr>
      <w:tr w14:paraId="60CB60F2">
        <w:tblPrEx>
          <w:tblCellMar>
            <w:top w:w="0" w:type="dxa"/>
            <w:left w:w="108" w:type="dxa"/>
            <w:bottom w:w="0" w:type="dxa"/>
            <w:right w:w="108" w:type="dxa"/>
          </w:tblCellMar>
        </w:tblPrEx>
        <w:trPr>
          <w:jc w:val="center"/>
        </w:trPr>
        <w:tc>
          <w:tcPr>
            <w:tcW w:w="2138" w:type="dxa"/>
          </w:tcPr>
          <w:p w14:paraId="378A9F42">
            <w:pPr>
              <w:jc w:val="both"/>
              <w:rPr>
                <w:sz w:val="22"/>
                <w:szCs w:val="22"/>
              </w:rPr>
            </w:pPr>
            <w:r>
              <w:rPr>
                <w:sz w:val="22"/>
                <w:szCs w:val="22"/>
              </w:rPr>
              <w:t>Giá trị cho SRS</w:t>
            </w:r>
          </w:p>
        </w:tc>
        <w:tc>
          <w:tcPr>
            <w:tcW w:w="4054" w:type="dxa"/>
          </w:tcPr>
          <w:p w14:paraId="5C0C6CF5">
            <w:pPr>
              <w:jc w:val="both"/>
              <w:rPr>
                <w:sz w:val="22"/>
                <w:szCs w:val="22"/>
              </w:rPr>
            </w:pPr>
            <w:r>
              <w:rPr>
                <w:sz w:val="22"/>
                <w:szCs w:val="22"/>
              </w:rPr>
              <w:t>Xây dựng lý luận cho phần Introduction và Scope, giải thích lý do hệ thống cần tính năng bảo mật giao dịch và mã giảm giá (voucher).</w:t>
            </w:r>
          </w:p>
        </w:tc>
        <w:tc>
          <w:tcPr>
            <w:tcW w:w="4536" w:type="dxa"/>
          </w:tcPr>
          <w:p w14:paraId="63BCE5DE">
            <w:pPr>
              <w:jc w:val="both"/>
              <w:rPr>
                <w:sz w:val="22"/>
                <w:szCs w:val="22"/>
              </w:rPr>
            </w:pPr>
            <w:r>
              <w:rPr>
                <w:sz w:val="22"/>
                <w:szCs w:val="22"/>
              </w:rPr>
              <w:t>Cung cấp số liệu cho phần Existing Systems, chứng minh sự tất yếu của việc tích hợp thanh toán số tại thị trường Việt Nam.</w:t>
            </w:r>
          </w:p>
        </w:tc>
      </w:tr>
      <w:tr w14:paraId="61D54377">
        <w:tblPrEx>
          <w:tblCellMar>
            <w:top w:w="0" w:type="dxa"/>
            <w:left w:w="108" w:type="dxa"/>
            <w:bottom w:w="0" w:type="dxa"/>
            <w:right w:w="108" w:type="dxa"/>
          </w:tblCellMar>
        </w:tblPrEx>
        <w:trPr>
          <w:jc w:val="center"/>
        </w:trPr>
        <w:tc>
          <w:tcPr>
            <w:tcW w:w="2138" w:type="dxa"/>
          </w:tcPr>
          <w:p w14:paraId="755301F2">
            <w:pPr>
              <w:jc w:val="both"/>
              <w:rPr>
                <w:sz w:val="22"/>
                <w:szCs w:val="22"/>
              </w:rPr>
            </w:pPr>
            <w:r>
              <w:rPr>
                <w:sz w:val="22"/>
                <w:szCs w:val="22"/>
              </w:rPr>
              <w:t>Hạn chế khi áp dụng</w:t>
            </w:r>
          </w:p>
        </w:tc>
        <w:tc>
          <w:tcPr>
            <w:tcW w:w="4054" w:type="dxa"/>
          </w:tcPr>
          <w:p w14:paraId="0C7E9F8C">
            <w:pPr>
              <w:jc w:val="both"/>
              <w:rPr>
                <w:sz w:val="22"/>
                <w:szCs w:val="22"/>
              </w:rPr>
            </w:pPr>
            <w:r>
              <w:rPr>
                <w:sz w:val="22"/>
                <w:szCs w:val="22"/>
              </w:rPr>
              <w:t>Bối cảnh tập trung vào các khu du lịch bán đô thị/đồi núi, cần mở rộng góc nhìn khi áp dụng cho mô hình thuê xe ở các thành phố lớn.</w:t>
            </w:r>
          </w:p>
        </w:tc>
        <w:tc>
          <w:tcPr>
            <w:tcW w:w="4536" w:type="dxa"/>
          </w:tcPr>
          <w:p w14:paraId="70BB706F">
            <w:pPr>
              <w:jc w:val="both"/>
              <w:rPr>
                <w:sz w:val="22"/>
                <w:szCs w:val="22"/>
              </w:rPr>
            </w:pPr>
            <w:r>
              <w:rPr>
                <w:sz w:val="22"/>
                <w:szCs w:val="22"/>
              </w:rPr>
              <w:t>Đối tượng nghiên cứu là các cửa hàng bán lẻ trực tuyến (E-commerce), không phải nền tảng cho thuê dịch vụ (Mobility platform), cần linh hoạt đối chiếu.</w:t>
            </w:r>
          </w:p>
        </w:tc>
      </w:tr>
      <w:tr w14:paraId="5A206438">
        <w:tblPrEx>
          <w:tblCellMar>
            <w:top w:w="0" w:type="dxa"/>
            <w:left w:w="108" w:type="dxa"/>
            <w:bottom w:w="0" w:type="dxa"/>
            <w:right w:w="108" w:type="dxa"/>
          </w:tblCellMar>
        </w:tblPrEx>
        <w:trPr>
          <w:jc w:val="center"/>
        </w:trPr>
        <w:tc>
          <w:tcPr>
            <w:tcW w:w="2138" w:type="dxa"/>
          </w:tcPr>
          <w:p w14:paraId="57DB6CC1">
            <w:pPr>
              <w:jc w:val="both"/>
              <w:rPr>
                <w:sz w:val="22"/>
                <w:szCs w:val="22"/>
              </w:rPr>
            </w:pPr>
          </w:p>
        </w:tc>
        <w:tc>
          <w:tcPr>
            <w:tcW w:w="4054" w:type="dxa"/>
          </w:tcPr>
          <w:p w14:paraId="65C31838">
            <w:pPr>
              <w:jc w:val="both"/>
              <w:rPr>
                <w:sz w:val="22"/>
                <w:szCs w:val="22"/>
              </w:rPr>
            </w:pPr>
          </w:p>
        </w:tc>
        <w:tc>
          <w:tcPr>
            <w:tcW w:w="4536" w:type="dxa"/>
          </w:tcPr>
          <w:p w14:paraId="65588641">
            <w:pPr>
              <w:jc w:val="both"/>
              <w:rPr>
                <w:sz w:val="22"/>
                <w:szCs w:val="22"/>
              </w:rPr>
            </w:pPr>
          </w:p>
        </w:tc>
      </w:tr>
      <w:tr w14:paraId="44B59F97">
        <w:tblPrEx>
          <w:tblCellMar>
            <w:top w:w="0" w:type="dxa"/>
            <w:left w:w="108" w:type="dxa"/>
            <w:bottom w:w="0" w:type="dxa"/>
            <w:right w:w="108" w:type="dxa"/>
          </w:tblCellMar>
        </w:tblPrEx>
        <w:trPr>
          <w:jc w:val="center"/>
        </w:trPr>
        <w:tc>
          <w:tcPr>
            <w:tcW w:w="10728" w:type="dxa"/>
            <w:gridSpan w:val="3"/>
            <w:tcBorders>
              <w:top w:val="single" w:color="1F4E79" w:sz="12" w:space="0"/>
              <w:left w:val="single" w:color="1F4E79" w:sz="12" w:space="0"/>
              <w:bottom w:val="single" w:color="1F4E79" w:sz="12" w:space="0"/>
              <w:right w:val="single" w:color="1F4E79" w:sz="12" w:space="0"/>
            </w:tcBorders>
            <w:shd w:val="clear" w:color="auto" w:fill="D9EAF7"/>
            <w:vAlign w:val="center"/>
          </w:tcPr>
          <w:p w14:paraId="4D8A10DC">
            <w:r>
              <w:rPr>
                <w:b/>
                <w:color w:val="1F4E79"/>
                <w:sz w:val="28"/>
              </w:rPr>
              <w:t>5. ỨNG DỤNG PAPER VÀO SRS CỦA DỰ ÁN</w:t>
            </w:r>
          </w:p>
        </w:tc>
      </w:tr>
      <w:tr w14:paraId="6E5A6E32">
        <w:tblPrEx>
          <w:tblCellMar>
            <w:top w:w="0" w:type="dxa"/>
            <w:left w:w="108" w:type="dxa"/>
            <w:bottom w:w="0" w:type="dxa"/>
            <w:right w:w="108" w:type="dxa"/>
          </w:tblCellMar>
        </w:tblPrEx>
        <w:trPr>
          <w:jc w:val="center"/>
        </w:trPr>
        <w:tc>
          <w:tcPr>
            <w:tcW w:w="213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06B82B44">
            <w:r>
              <w:rPr>
                <w:b/>
                <w:color w:val="FFFFFF"/>
                <w:sz w:val="20"/>
              </w:rPr>
              <w:t>Mục trong SRS</w:t>
            </w:r>
          </w:p>
        </w:tc>
        <w:tc>
          <w:tcPr>
            <w:tcW w:w="405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62608726">
            <w:r>
              <w:rPr>
                <w:b/>
                <w:color w:val="FFFFFF"/>
                <w:sz w:val="20"/>
              </w:rPr>
              <w:t>Nội dung có thể viết từ Paper 1</w:t>
            </w:r>
          </w:p>
        </w:tc>
        <w:tc>
          <w:tcPr>
            <w:tcW w:w="4536"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2C2DA688">
            <w:r>
              <w:rPr>
                <w:b/>
                <w:color w:val="FFFFFF"/>
                <w:sz w:val="20"/>
              </w:rPr>
              <w:t>Nội dung có thể viết từ Paper 2</w:t>
            </w:r>
          </w:p>
        </w:tc>
      </w:tr>
      <w:tr w14:paraId="6A4D69D0">
        <w:tblPrEx>
          <w:tblCellMar>
            <w:top w:w="0" w:type="dxa"/>
            <w:left w:w="108" w:type="dxa"/>
            <w:bottom w:w="0" w:type="dxa"/>
            <w:right w:w="108" w:type="dxa"/>
          </w:tblCellMar>
        </w:tblPrEx>
        <w:trPr>
          <w:jc w:val="center"/>
        </w:trPr>
        <w:tc>
          <w:tcPr>
            <w:tcW w:w="2138" w:type="dxa"/>
          </w:tcPr>
          <w:p w14:paraId="1E42563F">
            <w:pPr>
              <w:jc w:val="both"/>
            </w:pPr>
            <w:r>
              <w:rPr>
                <w:sz w:val="19"/>
              </w:rPr>
              <w:t>Introduction</w:t>
            </w:r>
          </w:p>
        </w:tc>
        <w:tc>
          <w:tcPr>
            <w:tcW w:w="4054" w:type="dxa"/>
          </w:tcPr>
          <w:p w14:paraId="71F37FE2">
            <w:pPr>
              <w:jc w:val="both"/>
            </w:pPr>
            <w:r>
              <w:t>Người dùng (đặc biệt là khách du lịch) ngày càng ưa chuộng thanh toán không tiền mặt, nhưng họ cần sự tin tưởng (trust) tuyệt đối khi chuyển khoản tiền đặt cọc thuê xe.</w:t>
            </w:r>
          </w:p>
        </w:tc>
        <w:tc>
          <w:tcPr>
            <w:tcW w:w="4536" w:type="dxa"/>
          </w:tcPr>
          <w:p w14:paraId="257DE881">
            <w:pPr>
              <w:jc w:val="both"/>
            </w:pPr>
            <w:r>
              <w:t>Thanh toán qua ví điện tử đang bùng nổ tại Việt Nam. Bất kỳ nền tảng dịch vụ trực tuyến nào cũng cần nắm bắt xu hướng này để tiếp cận khách hàng.</w:t>
            </w:r>
          </w:p>
        </w:tc>
      </w:tr>
      <w:tr w14:paraId="30C3F02F">
        <w:tblPrEx>
          <w:tblCellMar>
            <w:top w:w="0" w:type="dxa"/>
            <w:left w:w="108" w:type="dxa"/>
            <w:bottom w:w="0" w:type="dxa"/>
            <w:right w:w="108" w:type="dxa"/>
          </w:tblCellMar>
        </w:tblPrEx>
        <w:trPr>
          <w:jc w:val="center"/>
        </w:trPr>
        <w:tc>
          <w:tcPr>
            <w:tcW w:w="2138" w:type="dxa"/>
          </w:tcPr>
          <w:p w14:paraId="36E13F4F">
            <w:pPr>
              <w:jc w:val="both"/>
            </w:pPr>
            <w:r>
              <w:rPr>
                <w:sz w:val="19"/>
              </w:rPr>
              <w:t>Scope</w:t>
            </w:r>
          </w:p>
        </w:tc>
        <w:tc>
          <w:tcPr>
            <w:tcW w:w="4054" w:type="dxa"/>
          </w:tcPr>
          <w:p w14:paraId="7A467F01">
            <w:pPr>
              <w:jc w:val="both"/>
            </w:pPr>
            <w:r>
              <w:t>Xác định phạm vi tính năng thanh toán: Hệ thống phải có chính sách hoàn cọc minh bạch, bảo mật SSL và tính năng áp dụng mã ưu đãi (Incentives) khi đặt online.</w:t>
            </w:r>
          </w:p>
        </w:tc>
        <w:tc>
          <w:tcPr>
            <w:tcW w:w="4536" w:type="dxa"/>
          </w:tcPr>
          <w:p w14:paraId="7D834A3D">
            <w:pPr>
              <w:jc w:val="both"/>
            </w:pPr>
            <w:r>
              <w:t>Tích hợp các API ví điện tử phổ biến tại Việt Nam (VNPAY, MoMo) vào luồng thanh toán và đặt cọc của nền tảng.</w:t>
            </w:r>
          </w:p>
        </w:tc>
      </w:tr>
      <w:tr w14:paraId="5A60369A">
        <w:tblPrEx>
          <w:tblCellMar>
            <w:top w:w="0" w:type="dxa"/>
            <w:left w:w="108" w:type="dxa"/>
            <w:bottom w:w="0" w:type="dxa"/>
            <w:right w:w="108" w:type="dxa"/>
          </w:tblCellMar>
        </w:tblPrEx>
        <w:trPr>
          <w:jc w:val="center"/>
        </w:trPr>
        <w:tc>
          <w:tcPr>
            <w:tcW w:w="2138" w:type="dxa"/>
          </w:tcPr>
          <w:p w14:paraId="67E215CF">
            <w:pPr>
              <w:jc w:val="both"/>
            </w:pPr>
            <w:r>
              <w:rPr>
                <w:sz w:val="19"/>
              </w:rPr>
              <w:t>Existing Systems</w:t>
            </w:r>
          </w:p>
        </w:tc>
        <w:tc>
          <w:tcPr>
            <w:tcW w:w="4054" w:type="dxa"/>
          </w:tcPr>
          <w:p w14:paraId="676BA520">
            <w:pPr>
              <w:jc w:val="both"/>
            </w:pPr>
            <w:r>
              <w:t>Các hệ thống thuê xe truyền thống thường yêu cầu đặt cọc tiền mặt hoặc giữ giấy tờ, gây bất tiện và tâm lý e ngại cho khách du lịch.</w:t>
            </w:r>
          </w:p>
        </w:tc>
        <w:tc>
          <w:tcPr>
            <w:tcW w:w="4536" w:type="dxa"/>
          </w:tcPr>
          <w:p w14:paraId="27AAB14A">
            <w:pPr>
              <w:jc w:val="both"/>
            </w:pPr>
            <w:r>
              <w:t>Người tiêu dùng Việt Nam đã quen thuộc với trải nghiệm mua sắm qua ví điện tử tại các cửa hàng vừa và nhỏ, do đó họ kỳ vọng điều tương tự ở dịch vụ thuê xe.</w:t>
            </w:r>
          </w:p>
        </w:tc>
      </w:tr>
      <w:tr w14:paraId="17AC35AE">
        <w:tblPrEx>
          <w:tblCellMar>
            <w:top w:w="0" w:type="dxa"/>
            <w:left w:w="108" w:type="dxa"/>
            <w:bottom w:w="0" w:type="dxa"/>
            <w:right w:w="108" w:type="dxa"/>
          </w:tblCellMar>
        </w:tblPrEx>
        <w:trPr>
          <w:jc w:val="center"/>
        </w:trPr>
        <w:tc>
          <w:tcPr>
            <w:tcW w:w="2138" w:type="dxa"/>
          </w:tcPr>
          <w:p w14:paraId="381BA02A">
            <w:pPr>
              <w:jc w:val="both"/>
            </w:pPr>
            <w:r>
              <w:rPr>
                <w:sz w:val="19"/>
              </w:rPr>
              <w:t>Use Case</w:t>
            </w:r>
          </w:p>
        </w:tc>
        <w:tc>
          <w:tcPr>
            <w:tcW w:w="4054" w:type="dxa"/>
          </w:tcPr>
          <w:p w14:paraId="16DC4C84">
            <w:pPr>
              <w:jc w:val="both"/>
            </w:pPr>
            <w:r>
              <w:t>Hỗ trợ mô tả chi tiết các Use Case: Áp dụng mã giảm giá (Apply Voucher), Xem chính sách hoàn tiền (View Refund Policy).</w:t>
            </w:r>
          </w:p>
        </w:tc>
        <w:tc>
          <w:tcPr>
            <w:tcW w:w="4536" w:type="dxa"/>
          </w:tcPr>
          <w:p w14:paraId="1C7034F4">
            <w:pPr>
              <w:jc w:val="both"/>
            </w:pPr>
            <w:r>
              <w:t>Hỗ trợ luồng sự kiện cho Use Case: Chọn phương thức thanh toán (Select Payment Method), Thanh toán tiền cọc qua Ví điện tử (Pay Deposit via E-wallet).</w:t>
            </w:r>
          </w:p>
        </w:tc>
      </w:tr>
      <w:tr w14:paraId="01C910A5">
        <w:tblPrEx>
          <w:tblCellMar>
            <w:top w:w="0" w:type="dxa"/>
            <w:left w:w="108" w:type="dxa"/>
            <w:bottom w:w="0" w:type="dxa"/>
            <w:right w:w="108" w:type="dxa"/>
          </w:tblCellMar>
        </w:tblPrEx>
        <w:trPr>
          <w:jc w:val="center"/>
        </w:trPr>
        <w:tc>
          <w:tcPr>
            <w:tcW w:w="10728" w:type="dxa"/>
            <w:gridSpan w:val="3"/>
            <w:tcBorders>
              <w:top w:val="single" w:color="1F4E79" w:sz="12" w:space="0"/>
              <w:left w:val="single" w:color="1F4E79" w:sz="12" w:space="0"/>
              <w:bottom w:val="single" w:color="1F4E79" w:sz="12" w:space="0"/>
              <w:right w:val="single" w:color="1F4E79" w:sz="12" w:space="0"/>
            </w:tcBorders>
            <w:shd w:val="clear" w:color="auto" w:fill="D9EAF7"/>
            <w:vAlign w:val="center"/>
          </w:tcPr>
          <w:p w14:paraId="4494212A">
            <w:r>
              <w:rPr>
                <w:b/>
                <w:color w:val="1F4E79"/>
                <w:sz w:val="28"/>
              </w:rPr>
              <w:t>6. REFERENCES</w:t>
            </w:r>
          </w:p>
        </w:tc>
      </w:tr>
      <w:tr w14:paraId="24EFA76E">
        <w:tblPrEx>
          <w:tblCellMar>
            <w:top w:w="0" w:type="dxa"/>
            <w:left w:w="108" w:type="dxa"/>
            <w:bottom w:w="0" w:type="dxa"/>
            <w:right w:w="108" w:type="dxa"/>
          </w:tblCellMar>
        </w:tblPrEx>
        <w:trPr>
          <w:jc w:val="center"/>
        </w:trPr>
        <w:tc>
          <w:tcPr>
            <w:tcW w:w="213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199028E4">
            <w:r>
              <w:rPr>
                <w:b/>
                <w:color w:val="FFFFFF"/>
                <w:sz w:val="20"/>
              </w:rPr>
              <w:t>No.</w:t>
            </w:r>
          </w:p>
        </w:tc>
        <w:tc>
          <w:tcPr>
            <w:tcW w:w="405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4A7D66FB">
            <w:r>
              <w:rPr>
                <w:b/>
                <w:color w:val="FFFFFF"/>
                <w:sz w:val="20"/>
              </w:rPr>
              <w:t>Reference</w:t>
            </w:r>
          </w:p>
        </w:tc>
        <w:tc>
          <w:tcPr>
            <w:tcW w:w="4536"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47E485D9">
            <w:r>
              <w:rPr>
                <w:b/>
                <w:color w:val="FFFFFF"/>
                <w:sz w:val="20"/>
              </w:rPr>
              <w:t>Link</w:t>
            </w:r>
          </w:p>
        </w:tc>
      </w:tr>
      <w:tr w14:paraId="4A146388">
        <w:tblPrEx>
          <w:tblCellMar>
            <w:top w:w="0" w:type="dxa"/>
            <w:left w:w="108" w:type="dxa"/>
            <w:bottom w:w="0" w:type="dxa"/>
            <w:right w:w="108" w:type="dxa"/>
          </w:tblCellMar>
        </w:tblPrEx>
        <w:trPr>
          <w:jc w:val="center"/>
        </w:trPr>
        <w:tc>
          <w:tcPr>
            <w:tcW w:w="2138" w:type="dxa"/>
          </w:tcPr>
          <w:p w14:paraId="18F6F963">
            <w:r>
              <w:rPr>
                <w:sz w:val="19"/>
              </w:rPr>
              <w:t>1</w:t>
            </w:r>
          </w:p>
        </w:tc>
        <w:tc>
          <w:tcPr>
            <w:tcW w:w="4054" w:type="dxa"/>
          </w:tcPr>
          <w:p w14:paraId="55C9F6F2">
            <w:r>
              <w:t>Gupta, S. K., Gupta, S., &amp; Jaiswal, R. (2025). Mobile wallet adoption in tourism economies: the role of trust, incentives, and user behavior. Quality &amp; Quantity. Springer Nature. DOI: 10.1007/s11135-025-02427-w</w:t>
            </w:r>
          </w:p>
        </w:tc>
        <w:tc>
          <w:tcPr>
            <w:tcW w:w="4536" w:type="dxa"/>
          </w:tcPr>
          <w:p w14:paraId="76BD53C6">
            <w:pPr>
              <w:rPr>
                <w:rFonts w:hint="default"/>
                <w:lang w:val="en-US"/>
              </w:rPr>
            </w:pPr>
            <w:r>
              <w:rPr>
                <w:rFonts w:hint="default"/>
                <w:lang w:val="en-US"/>
              </w:rPr>
              <w:fldChar w:fldCharType="begin"/>
            </w:r>
            <w:r>
              <w:rPr>
                <w:rFonts w:hint="default"/>
                <w:lang w:val="en-US"/>
              </w:rPr>
              <w:instrText xml:space="preserve"> HYPERLINK "https://link.springer.com/article/10.1007/s11135-025-02427-w" </w:instrText>
            </w:r>
            <w:r>
              <w:rPr>
                <w:rFonts w:hint="default"/>
                <w:lang w:val="en-US"/>
              </w:rPr>
              <w:fldChar w:fldCharType="separate"/>
            </w:r>
            <w:r>
              <w:rPr>
                <w:rStyle w:val="20"/>
                <w:rFonts w:hint="default"/>
                <w:lang w:val="en-US"/>
              </w:rPr>
              <w:t>https://link.springer.com/article/10.1007/s11135-025-02427-w</w:t>
            </w:r>
            <w:r>
              <w:rPr>
                <w:rFonts w:hint="default"/>
                <w:lang w:val="en-US"/>
              </w:rPr>
              <w:fldChar w:fldCharType="end"/>
            </w:r>
            <w:r>
              <w:rPr>
                <w:rFonts w:hint="default"/>
                <w:lang w:val="en-US"/>
              </w:rPr>
              <w:t xml:space="preserve"> </w:t>
            </w:r>
          </w:p>
        </w:tc>
      </w:tr>
      <w:tr w14:paraId="53E2A1FC">
        <w:tblPrEx>
          <w:tblCellMar>
            <w:top w:w="0" w:type="dxa"/>
            <w:left w:w="108" w:type="dxa"/>
            <w:bottom w:w="0" w:type="dxa"/>
            <w:right w:w="108" w:type="dxa"/>
          </w:tblCellMar>
        </w:tblPrEx>
        <w:trPr>
          <w:jc w:val="center"/>
        </w:trPr>
        <w:tc>
          <w:tcPr>
            <w:tcW w:w="2138" w:type="dxa"/>
          </w:tcPr>
          <w:p w14:paraId="0B3B2789">
            <w:r>
              <w:rPr>
                <w:sz w:val="19"/>
              </w:rPr>
              <w:t>2</w:t>
            </w:r>
          </w:p>
        </w:tc>
        <w:tc>
          <w:tcPr>
            <w:tcW w:w="4054" w:type="dxa"/>
          </w:tcPr>
          <w:p w14:paraId="77685F0D">
            <w:r>
              <w:t>Vu, U. M., Nguyen, L. T., Nguyen, G. T. T., &amp; Luu, T. (2025). Unlocking E-Wallet Potential in Emerging E-Commerce: Region-Based Evidence from Vietnam’s Small Online Stores. Advances in Information and Communication Technology. Springer Nature. DOI: 10.1007/978-3-032-18162-6_46</w:t>
            </w:r>
          </w:p>
        </w:tc>
        <w:tc>
          <w:tcPr>
            <w:tcW w:w="4536" w:type="dxa"/>
          </w:tcPr>
          <w:p w14:paraId="4561ACFB">
            <w:pPr>
              <w:rPr>
                <w:rFonts w:hint="default"/>
                <w:lang w:val="en-US"/>
              </w:rPr>
            </w:pPr>
            <w:r>
              <w:rPr>
                <w:rFonts w:hint="default"/>
              </w:rPr>
              <w:fldChar w:fldCharType="begin"/>
            </w:r>
            <w:r>
              <w:rPr>
                <w:rFonts w:hint="default"/>
              </w:rPr>
              <w:instrText xml:space="preserve"> HYPERLINK "https://link.springer.com/chapter/10.1007/978-3-032-18162-6_46" </w:instrText>
            </w:r>
            <w:r>
              <w:rPr>
                <w:rFonts w:hint="default"/>
              </w:rPr>
              <w:fldChar w:fldCharType="separate"/>
            </w:r>
            <w:r>
              <w:rPr>
                <w:rStyle w:val="20"/>
                <w:rFonts w:hint="default"/>
              </w:rPr>
              <w:t>https://link.springer.com/chapter/10.1007/978-3-032-18162-6_46</w:t>
            </w:r>
            <w:r>
              <w:rPr>
                <w:rFonts w:hint="default"/>
              </w:rPr>
              <w:fldChar w:fldCharType="end"/>
            </w:r>
            <w:r>
              <w:rPr>
                <w:rFonts w:hint="default"/>
                <w:lang w:val="en-US"/>
              </w:rPr>
              <w:t xml:space="preserve"> </w:t>
            </w:r>
          </w:p>
        </w:tc>
      </w:tr>
      <w:tr w14:paraId="4D52115C">
        <w:tblPrEx>
          <w:tblCellMar>
            <w:top w:w="0" w:type="dxa"/>
            <w:left w:w="108" w:type="dxa"/>
            <w:bottom w:w="0" w:type="dxa"/>
            <w:right w:w="108" w:type="dxa"/>
          </w:tblCellMar>
        </w:tblPrEx>
        <w:trPr>
          <w:jc w:val="center"/>
        </w:trPr>
        <w:tc>
          <w:tcPr>
            <w:tcW w:w="10728" w:type="dxa"/>
            <w:gridSpan w:val="3"/>
            <w:tcBorders>
              <w:top w:val="single" w:color="5B9BD5" w:sz="8" w:space="0"/>
              <w:left w:val="single" w:color="5B9BD5" w:sz="8" w:space="0"/>
              <w:bottom w:val="single" w:color="5B9BD5" w:sz="8" w:space="0"/>
              <w:right w:val="single" w:color="5B9BD5" w:sz="8" w:space="0"/>
            </w:tcBorders>
            <w:shd w:val="clear" w:color="auto" w:fill="EAF2F8"/>
            <w:vAlign w:val="center"/>
          </w:tcPr>
          <w:p w14:paraId="386D1F2F">
            <w:r>
              <w:rPr>
                <w:b/>
              </w:rPr>
              <w:t>Kết luận</w:t>
            </w:r>
          </w:p>
        </w:tc>
      </w:tr>
      <w:tr w14:paraId="63992482">
        <w:tblPrEx>
          <w:tblCellMar>
            <w:top w:w="0" w:type="dxa"/>
            <w:left w:w="108" w:type="dxa"/>
            <w:bottom w:w="0" w:type="dxa"/>
            <w:right w:w="108" w:type="dxa"/>
          </w:tblCellMar>
        </w:tblPrEx>
        <w:trPr>
          <w:jc w:val="center"/>
        </w:trPr>
        <w:tc>
          <w:tcPr>
            <w:tcW w:w="10728" w:type="dxa"/>
            <w:gridSpan w:val="3"/>
            <w:tcBorders>
              <w:top w:val="single" w:color="5B9BD5" w:sz="8" w:space="0"/>
              <w:left w:val="single" w:color="5B9BD5" w:sz="8" w:space="0"/>
              <w:bottom w:val="single" w:color="5B9BD5" w:sz="8" w:space="0"/>
              <w:right w:val="single" w:color="5B9BD5" w:sz="8" w:space="0"/>
            </w:tcBorders>
            <w:vAlign w:val="center"/>
          </w:tcPr>
          <w:p w14:paraId="6070D49B">
            <w:pPr>
              <w:spacing w:after="100"/>
              <w:jc w:val="both"/>
              <w:rPr>
                <w:rFonts w:hint="default"/>
                <w:lang w:val="en-US"/>
              </w:rPr>
            </w:pPr>
            <w:r>
              <w:rPr>
                <w:rFonts w:hint="default"/>
                <w:lang w:val="en-US"/>
              </w:rPr>
              <w:t>Cả hai bài báo khoa học đều đã cung cấp một góc nhìn toàn diện cho cụm tính năng “Thanh toán và đặt cọc trực tuyến” của dự án “Nền tảng hổ trợ cho thuê ô tô tự lái”. Paper 1giúp nhóm hiểu rõ tâm lý cần sự tin tưởng và các chính sách ưu đãi của tệp khách hàng du lịch, thì Paper 2 lại mang đến những số liệu thực tiễn và thói quen sử dụng ví điện tử ngay tại thị trường Việt Nam. Sự kết hợp của hai tài liệu này đóng giúp nhóm hoàn thiện các lập luận trong phần Introduction, Scope và Existing Systems của tài liệu SRS, đảm bảo giải pháp đưa ra vừa mang tính học thuật, vừa đáp ứng chính xác nhu cầu của thị trường bản địa.</w:t>
            </w:r>
          </w:p>
        </w:tc>
      </w:tr>
    </w:tbl>
    <w:p w14:paraId="00B6D2F1"/>
    <w:sectPr>
      <w:headerReference r:id="rId5" w:type="default"/>
      <w:footerReference r:id="rId6" w:type="default"/>
      <w:pgSz w:w="12240" w:h="15840"/>
      <w:pgMar w:top="792" w:right="864" w:bottom="720" w:left="864" w:header="720" w:footer="720" w:gutter="0"/>
      <w:pgBorders w:offsetFrom="page">
        <w:top w:val="single" w:color="2F5597" w:sz="18" w:space="24"/>
        <w:left w:val="single" w:color="2F5597" w:sz="18" w:space="24"/>
        <w:bottom w:val="single" w:color="2F5597" w:sz="18" w:space="24"/>
        <w:right w:val="single" w:color="2F5597"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96E55">
    <w:pPr>
      <w:pStyle w:val="18"/>
      <w:jc w:val="center"/>
    </w:pPr>
    <w:r>
      <w:rPr>
        <w:color w:val="595959"/>
        <w:sz w:val="18"/>
      </w:rPr>
      <w:t>Dự án: Nền tảng hỗ trợ cho thuê xe ô tô tự lái | 2 SpringerLink Papers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D4F94">
    <w:pPr>
      <w:pStyle w:val="19"/>
      <w:jc w:val="center"/>
    </w:pPr>
    <w:r>
      <w:rPr>
        <w:color w:val="595959"/>
        <w:sz w:val="18"/>
      </w:rPr>
      <w:t>Week 2 Paper Review | Electric Car Rental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20B3"/>
    <w:rsid w:val="0029639D"/>
    <w:rsid w:val="00326F90"/>
    <w:rsid w:val="006B5C17"/>
    <w:rsid w:val="00AA1D8D"/>
    <w:rsid w:val="00B47730"/>
    <w:rsid w:val="00CB0664"/>
    <w:rsid w:val="00D10E11"/>
    <w:rsid w:val="00DB1E8A"/>
    <w:rsid w:val="00FC693F"/>
    <w:rsid w:val="10F70851"/>
    <w:rsid w:val="12A54A8B"/>
    <w:rsid w:val="13653ABA"/>
    <w:rsid w:val="2BAE4C87"/>
    <w:rsid w:val="3E001C9A"/>
    <w:rsid w:val="692502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E79"/>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607</Words>
  <Characters>2256</Characters>
  <Lines>1</Lines>
  <Paragraphs>1</Paragraphs>
  <TotalTime>7</TotalTime>
  <ScaleCrop>false</ScaleCrop>
  <LinksUpToDate>false</LinksUpToDate>
  <CharactersWithSpaces>2822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Gia Huy</cp:lastModifiedBy>
  <dcterms:modified xsi:type="dcterms:W3CDTF">2026-05-25T12:51:38Z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14f6679a-5093-4011-a974-4a284c0f3d1a</vt:lpwstr>
  </property>
  <property fmtid="{D5CDD505-2E9C-101B-9397-08002B2CF9AE}" pid="3" name="KSOTemplateDocerSaveRecord">
    <vt:lpwstr>eyJoZGlkIjoiMzkwNTA4NzMzMjVhYWI1ODI2YWZlZjY1MjNkZGM3ZWIiLCJ1c2VySWQiOiIxMzkyMDM3Njc2NDMzIn0=</vt:lpwstr>
  </property>
  <property fmtid="{D5CDD505-2E9C-101B-9397-08002B2CF9AE}" pid="4" name="KSOProductBuildVer">
    <vt:lpwstr>1033-12.1.0.26372</vt:lpwstr>
  </property>
  <property fmtid="{D5CDD505-2E9C-101B-9397-08002B2CF9AE}" pid="5" name="ICV">
    <vt:lpwstr>25B8479F6C66419A98B052C96FA33545_12</vt:lpwstr>
  </property>
</Properties>
</file>