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autofit"/>
        <w:tblCellMar>
          <w:top w:w="0" w:type="dxa"/>
          <w:left w:w="108" w:type="dxa"/>
          <w:bottom w:w="0" w:type="dxa"/>
          <w:right w:w="108" w:type="dxa"/>
        </w:tblCellMar>
      </w:tblPr>
      <w:tblGrid>
        <w:gridCol w:w="2448"/>
        <w:gridCol w:w="7920"/>
      </w:tblGrid>
      <w:tr w14:paraId="49C8F79F">
        <w:tblPrEx>
          <w:tblCellMar>
            <w:top w:w="0" w:type="dxa"/>
            <w:left w:w="108" w:type="dxa"/>
            <w:bottom w:w="0" w:type="dxa"/>
            <w:right w:w="108" w:type="dxa"/>
          </w:tblCellMar>
        </w:tblPrEx>
        <w:trPr>
          <w:jc w:val="center"/>
        </w:trPr>
        <w:tc>
          <w:tcPr>
            <w:tcW w:w="10368" w:type="dxa"/>
            <w:gridSpan w:val="2"/>
            <w:tcBorders>
              <w:top w:val="single" w:color="1F4E79" w:sz="18" w:space="0"/>
              <w:left w:val="single" w:color="1F4E79" w:sz="18" w:space="0"/>
              <w:bottom w:val="single" w:color="1F4E79" w:sz="18" w:space="0"/>
              <w:right w:val="single" w:color="1F4E79" w:sz="18" w:space="0"/>
            </w:tcBorders>
            <w:shd w:val="clear" w:color="auto" w:fill="F2F8FC"/>
            <w:vAlign w:val="center"/>
          </w:tcPr>
          <w:p w14:paraId="3A3FB153"/>
          <w:p w14:paraId="3882969E"/>
          <w:p w14:paraId="04D90099"/>
          <w:p w14:paraId="13F88EDA">
            <w:pPr>
              <w:jc w:val="center"/>
            </w:pPr>
            <w:r>
              <w:rPr>
                <w:b/>
                <w:color w:val="1F4E79"/>
                <w:sz w:val="48"/>
              </w:rPr>
              <w:t>WEEK 2 PAPER REVIEW</w:t>
            </w:r>
          </w:p>
          <w:p w14:paraId="418D0D8C">
            <w:pPr>
              <w:jc w:val="center"/>
            </w:pPr>
            <w:r>
              <w:rPr>
                <w:b/>
                <w:color w:val="404040"/>
                <w:sz w:val="28"/>
              </w:rPr>
              <w:t>TỔNG HỢP 2 BÀI BÁO KHOA HỌC LIÊN QUAN ĐẾN DỰ ÁN</w:t>
            </w:r>
          </w:p>
          <w:p w14:paraId="5B4D9138"/>
        </w:tc>
      </w:tr>
      <w:tr w14:paraId="6E0F8D2D">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3DD06647">
            <w:r>
              <w:rPr>
                <w:b/>
              </w:rPr>
              <w:t>Tên dự án</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7EF0919F">
            <w:pPr>
              <w:jc w:val="both"/>
              <w:rPr>
                <w:rFonts w:hint="default"/>
                <w:lang w:val="en-US"/>
              </w:rPr>
            </w:pPr>
            <w:r>
              <w:t>Nền tảng hỗ trợ cho thuê xe ô tô tự lái</w:t>
            </w:r>
            <w:r>
              <w:rPr>
                <w:rFonts w:hint="default"/>
                <w:lang w:val="en-US"/>
              </w:rPr>
              <w:t>(Self-drive car rental support platform)</w:t>
            </w:r>
          </w:p>
        </w:tc>
      </w:tr>
      <w:tr w14:paraId="6EF77D20">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65A7E078">
            <w:r>
              <w:rPr>
                <w:b/>
              </w:rPr>
              <w:t>Định hướng</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745B55CD">
            <w:pPr>
              <w:jc w:val="both"/>
            </w:pPr>
            <w:r>
              <w:t xml:space="preserve">Ứng dụng Web hỗ trợ đặt thuê </w:t>
            </w:r>
            <w:r>
              <w:rPr>
                <w:rFonts w:hint="default"/>
                <w:lang w:val="en-US"/>
              </w:rPr>
              <w:t>ô tô tự lái</w:t>
            </w:r>
            <w:r>
              <w:t>, quản lý đội xe, thanh toán và đặt cọc trực tuyến.</w:t>
            </w:r>
          </w:p>
        </w:tc>
      </w:tr>
      <w:tr w14:paraId="2AA5BA61">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278824F2">
            <w:r>
              <w:rPr>
                <w:b/>
              </w:rPr>
              <w:t>Nguồn paper</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2CFE162E">
            <w:pPr>
              <w:jc w:val="both"/>
            </w:pPr>
            <w:r>
              <w:t>SpringerLink</w:t>
            </w:r>
          </w:p>
        </w:tc>
      </w:tr>
      <w:tr w14:paraId="4B49FC79">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32EBE2A5">
            <w:r>
              <w:rPr>
                <w:b/>
              </w:rPr>
              <w:t>Số lượng paper</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1E62B1C1">
            <w:pPr>
              <w:jc w:val="both"/>
            </w:pPr>
            <w:r>
              <w:t>02 paper</w:t>
            </w:r>
          </w:p>
        </w:tc>
      </w:tr>
      <w:tr w14:paraId="5F1C3D9C">
        <w:tblPrEx>
          <w:tblCellMar>
            <w:top w:w="0" w:type="dxa"/>
            <w:left w:w="108" w:type="dxa"/>
            <w:bottom w:w="0" w:type="dxa"/>
            <w:right w:w="108" w:type="dxa"/>
          </w:tblCellMar>
        </w:tblPrEx>
        <w:trPr>
          <w:jc w:val="center"/>
        </w:trPr>
        <w:tc>
          <w:tcPr>
            <w:tcW w:w="2448" w:type="dxa"/>
            <w:tcBorders>
              <w:top w:val="single" w:color="5B9BD5" w:sz="10" w:space="0"/>
              <w:left w:val="single" w:color="5B9BD5" w:sz="10" w:space="0"/>
              <w:bottom w:val="single" w:color="5B9BD5" w:sz="10" w:space="0"/>
              <w:right w:val="single" w:color="5B9BD5" w:sz="10" w:space="0"/>
            </w:tcBorders>
            <w:shd w:val="clear" w:color="auto" w:fill="D9EAF7"/>
            <w:vAlign w:val="center"/>
          </w:tcPr>
          <w:p w14:paraId="7067931C">
            <w:r>
              <w:rPr>
                <w:b/>
              </w:rPr>
              <w:t>Mục đích</w:t>
            </w:r>
          </w:p>
        </w:tc>
        <w:tc>
          <w:tcPr>
            <w:tcW w:w="7344" w:type="dxa"/>
            <w:tcBorders>
              <w:top w:val="single" w:color="5B9BD5" w:sz="10" w:space="0"/>
              <w:left w:val="single" w:color="5B9BD5" w:sz="10" w:space="0"/>
              <w:bottom w:val="single" w:color="5B9BD5" w:sz="10" w:space="0"/>
              <w:right w:val="single" w:color="5B9BD5" w:sz="10" w:space="0"/>
            </w:tcBorders>
            <w:vAlign w:val="center"/>
          </w:tcPr>
          <w:p w14:paraId="50837B41">
            <w:pPr>
              <w:jc w:val="both"/>
            </w:pPr>
            <w:r>
              <w:t>Tổng hợp, phân tích, nhận định và đánh giá tài liệu nghiên cứu phục vụ phần Introduction, Scope và Existing Systems trong SRS.</w:t>
            </w:r>
          </w:p>
        </w:tc>
      </w:tr>
    </w:tbl>
    <w:p w14:paraId="011F39DD"/>
    <w:tbl>
      <w:tblPr>
        <w:tblStyle w:val="12"/>
        <w:tblW w:w="0" w:type="auto"/>
        <w:jc w:val="center"/>
        <w:tblLayout w:type="autofit"/>
        <w:tblCellMar>
          <w:top w:w="0" w:type="dxa"/>
          <w:left w:w="108" w:type="dxa"/>
          <w:bottom w:w="0" w:type="dxa"/>
          <w:right w:w="108" w:type="dxa"/>
        </w:tblCellMar>
      </w:tblPr>
      <w:tblGrid>
        <w:gridCol w:w="1008"/>
        <w:gridCol w:w="9360"/>
      </w:tblGrid>
      <w:tr w14:paraId="3D879759">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25FB8770">
            <w:r>
              <w:rPr>
                <w:b/>
                <w:color w:val="1F4E79"/>
                <w:sz w:val="28"/>
              </w:rPr>
              <w:t>MỤC LỤC</w:t>
            </w:r>
          </w:p>
        </w:tc>
      </w:tr>
      <w:tr w14:paraId="32A46980">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5C61780">
            <w:pPr>
              <w:jc w:val="center"/>
            </w:pPr>
            <w:r>
              <w:rPr>
                <w:b/>
              </w:rPr>
              <w:t>1</w:t>
            </w:r>
          </w:p>
        </w:tc>
        <w:tc>
          <w:tcPr>
            <w:tcW w:w="8928" w:type="dxa"/>
            <w:tcBorders>
              <w:top w:val="single" w:color="5B9BD5" w:sz="8" w:space="0"/>
              <w:left w:val="single" w:color="5B9BD5" w:sz="8" w:space="0"/>
              <w:bottom w:val="single" w:color="5B9BD5" w:sz="8" w:space="0"/>
              <w:right w:val="single" w:color="5B9BD5" w:sz="8" w:space="0"/>
            </w:tcBorders>
            <w:vAlign w:val="center"/>
          </w:tcPr>
          <w:p w14:paraId="6B804358">
            <w:r>
              <w:t>Tổng quan dự án và tiêu chí chọn paper</w:t>
            </w:r>
          </w:p>
        </w:tc>
      </w:tr>
      <w:tr w14:paraId="2A7C990E">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87027F1">
            <w:pPr>
              <w:jc w:val="center"/>
            </w:pPr>
            <w:r>
              <w:rPr>
                <w:b/>
              </w:rPr>
              <w:t>2</w:t>
            </w:r>
          </w:p>
        </w:tc>
        <w:tc>
          <w:tcPr>
            <w:tcW w:w="8928" w:type="dxa"/>
            <w:tcBorders>
              <w:top w:val="single" w:color="5B9BD5" w:sz="8" w:space="0"/>
              <w:left w:val="single" w:color="5B9BD5" w:sz="8" w:space="0"/>
              <w:bottom w:val="single" w:color="5B9BD5" w:sz="8" w:space="0"/>
              <w:right w:val="single" w:color="5B9BD5" w:sz="8" w:space="0"/>
            </w:tcBorders>
            <w:vAlign w:val="center"/>
          </w:tcPr>
          <w:p w14:paraId="31B93D97">
            <w:pPr>
              <w:rPr>
                <w:rFonts w:hint="default"/>
                <w:lang w:val="en-US"/>
              </w:rPr>
            </w:pPr>
            <w:r>
              <w:t xml:space="preserve">Paper 1: </w:t>
            </w:r>
            <w:r>
              <w:rPr>
                <w:rFonts w:hint="default"/>
                <w:lang w:val="en-US"/>
              </w:rPr>
              <w:t>On the benefit of combining car rental and car sharing.</w:t>
            </w:r>
          </w:p>
        </w:tc>
      </w:tr>
      <w:tr w14:paraId="79E10148">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90887B4">
            <w:pPr>
              <w:jc w:val="center"/>
            </w:pPr>
            <w:r>
              <w:rPr>
                <w:b/>
              </w:rPr>
              <w:t>3</w:t>
            </w:r>
          </w:p>
        </w:tc>
        <w:tc>
          <w:tcPr>
            <w:tcW w:w="8928" w:type="dxa"/>
            <w:tcBorders>
              <w:top w:val="single" w:color="5B9BD5" w:sz="8" w:space="0"/>
              <w:left w:val="single" w:color="5B9BD5" w:sz="8" w:space="0"/>
              <w:bottom w:val="single" w:color="5B9BD5" w:sz="8" w:space="0"/>
              <w:right w:val="single" w:color="5B9BD5" w:sz="8" w:space="0"/>
            </w:tcBorders>
            <w:vAlign w:val="center"/>
          </w:tcPr>
          <w:p w14:paraId="274AC129">
            <w:pPr>
              <w:rPr>
                <w:rFonts w:hint="default"/>
                <w:lang w:val="en-US"/>
              </w:rPr>
            </w:pPr>
            <w:r>
              <w:t xml:space="preserve">Paper 2: </w:t>
            </w:r>
            <w:r>
              <w:rPr>
                <w:rFonts w:hint="default"/>
                <w:lang w:val="en-US"/>
              </w:rPr>
              <w:t>Vehicle Location and Status Tracking System using GPS, GSM/GPRS, and OBD technologies.</w:t>
            </w:r>
          </w:p>
        </w:tc>
      </w:tr>
      <w:tr w14:paraId="34F9EE91">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47FB1A9F">
            <w:pPr>
              <w:jc w:val="center"/>
            </w:pPr>
            <w:r>
              <w:rPr>
                <w:b/>
              </w:rPr>
              <w:t>4</w:t>
            </w:r>
          </w:p>
        </w:tc>
        <w:tc>
          <w:tcPr>
            <w:tcW w:w="8928" w:type="dxa"/>
            <w:tcBorders>
              <w:top w:val="single" w:color="5B9BD5" w:sz="8" w:space="0"/>
              <w:left w:val="single" w:color="5B9BD5" w:sz="8" w:space="0"/>
              <w:bottom w:val="single" w:color="5B9BD5" w:sz="8" w:space="0"/>
              <w:right w:val="single" w:color="5B9BD5" w:sz="8" w:space="0"/>
            </w:tcBorders>
            <w:vAlign w:val="center"/>
          </w:tcPr>
          <w:p w14:paraId="07391C28">
            <w:r>
              <w:t>Bảng so sánh 2 paper</w:t>
            </w:r>
          </w:p>
        </w:tc>
      </w:tr>
      <w:tr w14:paraId="01075E9B">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34207D1">
            <w:pPr>
              <w:jc w:val="center"/>
            </w:pPr>
            <w:r>
              <w:rPr>
                <w:b/>
              </w:rPr>
              <w:t>5</w:t>
            </w:r>
          </w:p>
        </w:tc>
        <w:tc>
          <w:tcPr>
            <w:tcW w:w="8928" w:type="dxa"/>
            <w:tcBorders>
              <w:top w:val="single" w:color="5B9BD5" w:sz="8" w:space="0"/>
              <w:left w:val="single" w:color="5B9BD5" w:sz="8" w:space="0"/>
              <w:bottom w:val="single" w:color="5B9BD5" w:sz="8" w:space="0"/>
              <w:right w:val="single" w:color="5B9BD5" w:sz="8" w:space="0"/>
            </w:tcBorders>
            <w:vAlign w:val="center"/>
          </w:tcPr>
          <w:p w14:paraId="4732C048">
            <w:r>
              <w:t>Ứng dụng paper vào SRS của dự án</w:t>
            </w:r>
          </w:p>
        </w:tc>
      </w:tr>
      <w:tr w14:paraId="1327E47C">
        <w:tblPrEx>
          <w:tblCellMar>
            <w:top w:w="0" w:type="dxa"/>
            <w:left w:w="108" w:type="dxa"/>
            <w:bottom w:w="0" w:type="dxa"/>
            <w:right w:w="108" w:type="dxa"/>
          </w:tblCellMar>
        </w:tblPrEx>
        <w:trPr>
          <w:jc w:val="center"/>
        </w:trPr>
        <w:tc>
          <w:tcPr>
            <w:tcW w:w="100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2C508A0">
            <w:pPr>
              <w:jc w:val="center"/>
            </w:pPr>
            <w:r>
              <w:rPr>
                <w:b/>
              </w:rPr>
              <w:t>6</w:t>
            </w:r>
          </w:p>
        </w:tc>
        <w:tc>
          <w:tcPr>
            <w:tcW w:w="8928" w:type="dxa"/>
            <w:tcBorders>
              <w:top w:val="single" w:color="5B9BD5" w:sz="8" w:space="0"/>
              <w:left w:val="single" w:color="5B9BD5" w:sz="8" w:space="0"/>
              <w:bottom w:val="single" w:color="5B9BD5" w:sz="8" w:space="0"/>
              <w:right w:val="single" w:color="5B9BD5" w:sz="8" w:space="0"/>
            </w:tcBorders>
            <w:vAlign w:val="center"/>
          </w:tcPr>
          <w:p w14:paraId="2BE88AF7">
            <w:r>
              <w:t>References</w:t>
            </w:r>
          </w:p>
        </w:tc>
      </w:tr>
    </w:tbl>
    <w:p w14:paraId="7C753475"/>
    <w:tbl>
      <w:tblPr>
        <w:tblStyle w:val="12"/>
        <w:tblW w:w="0" w:type="auto"/>
        <w:jc w:val="center"/>
        <w:tblLayout w:type="autofit"/>
        <w:tblCellMar>
          <w:top w:w="0" w:type="dxa"/>
          <w:left w:w="108" w:type="dxa"/>
          <w:bottom w:w="0" w:type="dxa"/>
          <w:right w:w="108" w:type="dxa"/>
        </w:tblCellMar>
      </w:tblPr>
      <w:tblGrid>
        <w:gridCol w:w="4681"/>
        <w:gridCol w:w="6047"/>
      </w:tblGrid>
      <w:tr w14:paraId="0AB20831">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376A7908">
            <w:pPr>
              <w:rPr>
                <w:sz w:val="22"/>
                <w:szCs w:val="22"/>
              </w:rPr>
            </w:pPr>
            <w:r>
              <w:rPr>
                <w:b/>
                <w:color w:val="1F4E79"/>
                <w:sz w:val="22"/>
                <w:szCs w:val="22"/>
              </w:rPr>
              <w:t>1. TỔNG QUAN DỰ ÁN VÀ TIÊU CHÍ CHỌN PAPER</w:t>
            </w:r>
          </w:p>
        </w:tc>
      </w:tr>
      <w:tr w14:paraId="3B0A8170">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shd w:val="clear" w:color="auto" w:fill="EAF2F8"/>
            <w:vAlign w:val="center"/>
          </w:tcPr>
          <w:p w14:paraId="6AF102EF">
            <w:pPr>
              <w:rPr>
                <w:sz w:val="22"/>
                <w:szCs w:val="22"/>
              </w:rPr>
            </w:pPr>
            <w:r>
              <w:rPr>
                <w:b/>
                <w:sz w:val="22"/>
                <w:szCs w:val="22"/>
              </w:rPr>
              <w:t>Bối cảnh dự án</w:t>
            </w:r>
          </w:p>
        </w:tc>
      </w:tr>
      <w:tr w14:paraId="6CE2BAAC">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vAlign w:val="center"/>
          </w:tcPr>
          <w:p w14:paraId="28A8964F">
            <w:pPr>
              <w:spacing w:after="100"/>
              <w:ind w:firstLine="330" w:firstLineChars="150"/>
              <w:jc w:val="left"/>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Trong những năm gần đây, nhu cầu thuê xe ô tô tự lái phục vụ du lịch, công tác và di chuyển cá nhân đang ngày càng tăng cao. Cùng với sự phát triển của mô hình kinh tế chia sẻ (sharing economy), việc kết nối trực tiếp giữa chủ sở hữu xe và người có nhu cầu thuê đang trở thành một xu hướng tất yếu. Tuy nhiên, thị trường cho thuê xe tự lái truyền thống vẫn còn nhiều hạn chế: quy trình quản lý đội xe và hợp đồng thường được thực hiện thủ công , thiếu sự minh bạch trong việc đặt cọc, thanh toán , cũng như tồn tại nhiều rủi ro về xác thực danh tính đối với cả hai bên.</w:t>
            </w:r>
          </w:p>
          <w:p w14:paraId="20C86663">
            <w:pPr>
              <w:spacing w:after="100"/>
              <w:ind w:firstLine="330" w:firstLineChars="150"/>
              <w:jc w:val="left"/>
              <w:rPr>
                <w:rFonts w:hint="default" w:ascii="Times New Roman" w:hAnsi="Times New Roman" w:eastAsia="SimSun" w:cs="Times New Roman"/>
                <w:b w:val="0"/>
                <w:bCs w:val="0"/>
                <w:sz w:val="22"/>
                <w:szCs w:val="22"/>
              </w:rPr>
            </w:pPr>
            <w:r>
              <w:rPr>
                <w:rFonts w:hint="default" w:ascii="Times New Roman" w:hAnsi="Times New Roman" w:eastAsia="sans-serif" w:cs="Times New Roman"/>
                <w:i w:val="0"/>
                <w:iCs w:val="0"/>
                <w:caps w:val="0"/>
                <w:color w:val="1F1F1F"/>
                <w:spacing w:val="0"/>
                <w:sz w:val="22"/>
                <w:szCs w:val="22"/>
                <w:shd w:val="clear" w:fill="FFFFFF"/>
              </w:rPr>
              <w:t>Dự án của nhóm là nền tảng hỗ trợ cho thuê xe ô tô tự lái, tập trung vào trải nghiệm đặt thuê xe trực tuyến nhằm đáp ưng nhu cầu di chyển linh hoạt của người dùng. Hệ thống hướng đến việc giúp khách hàng xem danh sách xe, tìm kiếm và lọc xe, đặt xe, thanh toán tiền thuê/tiền cọc, theo dõi đơn đặt xe, nhận/trả xe và đánh giá dịch vụ.</w:t>
            </w:r>
          </w:p>
        </w:tc>
      </w:tr>
      <w:tr w14:paraId="0D797B12">
        <w:tblPrEx>
          <w:tblCellMar>
            <w:top w:w="0" w:type="dxa"/>
            <w:left w:w="108" w:type="dxa"/>
            <w:bottom w:w="0" w:type="dxa"/>
            <w:right w:w="108" w:type="dxa"/>
          </w:tblCellMar>
        </w:tblPrEx>
        <w:trPr>
          <w:tblHeader/>
          <w:jc w:val="center"/>
        </w:trPr>
        <w:tc>
          <w:tcPr>
            <w:tcW w:w="316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51204162">
            <w:pPr>
              <w:rPr>
                <w:sz w:val="22"/>
                <w:szCs w:val="22"/>
              </w:rPr>
            </w:pPr>
            <w:r>
              <w:rPr>
                <w:b/>
                <w:color w:val="FFFFFF"/>
                <w:sz w:val="22"/>
                <w:szCs w:val="22"/>
              </w:rPr>
              <w:t xml:space="preserve">Tiêu chí chọn </w:t>
            </w:r>
            <w:r>
              <w:rPr>
                <w:rFonts w:hint="default"/>
                <w:b/>
                <w:color w:val="FFFFFF"/>
                <w:sz w:val="22"/>
                <w:szCs w:val="22"/>
                <w:lang w:val="en-US"/>
              </w:rPr>
              <w:t>P</w:t>
            </w:r>
            <w:r>
              <w:rPr>
                <w:b/>
                <w:color w:val="FFFFFF"/>
                <w:sz w:val="22"/>
                <w:szCs w:val="22"/>
              </w:rPr>
              <w:t>aper</w:t>
            </w:r>
          </w:p>
        </w:tc>
        <w:tc>
          <w:tcPr>
            <w:tcW w:w="6768"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5D7931D4">
            <w:pPr>
              <w:rPr>
                <w:sz w:val="22"/>
                <w:szCs w:val="22"/>
              </w:rPr>
            </w:pPr>
            <w:r>
              <w:rPr>
                <w:b/>
                <w:color w:val="FFFFFF"/>
                <w:sz w:val="22"/>
                <w:szCs w:val="22"/>
              </w:rPr>
              <w:t>Lý do áp dụng cho dự án</w:t>
            </w:r>
          </w:p>
        </w:tc>
      </w:tr>
      <w:tr w14:paraId="3CD4080A">
        <w:tblPrEx>
          <w:tblCellMar>
            <w:top w:w="0" w:type="dxa"/>
            <w:left w:w="108" w:type="dxa"/>
            <w:bottom w:w="0" w:type="dxa"/>
            <w:right w:w="108" w:type="dxa"/>
          </w:tblCellMar>
        </w:tblPrEx>
        <w:trPr>
          <w:jc w:val="center"/>
        </w:trPr>
        <w:tc>
          <w:tcPr>
            <w:tcW w:w="5184" w:type="dxa"/>
          </w:tcPr>
          <w:p w14:paraId="087307FB">
            <w:pPr>
              <w:spacing w:after="40"/>
              <w:rPr>
                <w:rFonts w:hint="default" w:ascii="Times New Roman" w:hAnsi="Times New Roman" w:cs="Times New Roman"/>
                <w:sz w:val="22"/>
                <w:szCs w:val="22"/>
                <w:lang w:val="en-US"/>
              </w:rPr>
            </w:pPr>
            <w:r>
              <w:rPr>
                <w:rFonts w:hint="default" w:ascii="Times New Roman" w:hAnsi="Times New Roman" w:cs="Times New Roman"/>
                <w:sz w:val="22"/>
                <w:szCs w:val="22"/>
                <w:lang w:val="en-US"/>
              </w:rPr>
              <w:t>Phân tích mô hình kinh tế chia sẻ(Car-sharing) kết hợp cho thuê truyền thống.</w:t>
            </w:r>
          </w:p>
        </w:tc>
        <w:tc>
          <w:tcPr>
            <w:tcW w:w="5184" w:type="dxa"/>
          </w:tcPr>
          <w:p w14:paraId="4005E2A1">
            <w:pPr>
              <w:spacing w:after="40"/>
              <w:rPr>
                <w:rFonts w:hint="default" w:ascii="Times New Roman" w:hAnsi="Times New Roman" w:cs="Times New Roman"/>
                <w:sz w:val="22"/>
                <w:szCs w:val="22"/>
                <w:lang w:val="en-US"/>
              </w:rPr>
            </w:pPr>
            <w:r>
              <w:rPr>
                <w:rFonts w:hint="default" w:ascii="Times New Roman" w:hAnsi="Times New Roman" w:cs="Times New Roman"/>
                <w:sz w:val="22"/>
                <w:szCs w:val="22"/>
                <w:lang w:val="en-US"/>
              </w:rPr>
              <w:t>Làm cơ sở để viết bối cảnh; xác định rõ ràng định hướng dự án là nền tảng kết nối (Platform) tối ưu hóa xe nhàn rỗi.</w:t>
            </w:r>
          </w:p>
        </w:tc>
      </w:tr>
      <w:tr w14:paraId="4A8BDFFD">
        <w:tblPrEx>
          <w:tblCellMar>
            <w:top w:w="0" w:type="dxa"/>
            <w:left w:w="108" w:type="dxa"/>
            <w:bottom w:w="0" w:type="dxa"/>
            <w:right w:w="108" w:type="dxa"/>
          </w:tblCellMar>
        </w:tblPrEx>
        <w:trPr>
          <w:jc w:val="center"/>
        </w:trPr>
        <w:tc>
          <w:tcPr>
            <w:tcW w:w="5184" w:type="dxa"/>
          </w:tcPr>
          <w:p w14:paraId="2D454166">
            <w:pPr>
              <w:spacing w:after="40"/>
              <w:rPr>
                <w:rFonts w:hint="default" w:ascii="Times New Roman" w:hAnsi="Times New Roman" w:cs="Times New Roman"/>
                <w:sz w:val="22"/>
                <w:szCs w:val="22"/>
              </w:rPr>
            </w:pPr>
            <w:r>
              <w:rPr>
                <w:rFonts w:hint="default" w:ascii="Times New Roman" w:hAnsi="Times New Roman" w:eastAsia="SimSun" w:cs="Times New Roman"/>
                <w:sz w:val="22"/>
                <w:szCs w:val="22"/>
              </w:rPr>
              <w:t>Giải quyết bài toán tối ưu hóa nguồn lực và tăng tỷ lệ lấp đầy (utilization) của đội xe.</w:t>
            </w:r>
          </w:p>
        </w:tc>
        <w:tc>
          <w:tcPr>
            <w:tcW w:w="5184" w:type="dxa"/>
          </w:tcPr>
          <w:p w14:paraId="54EAB0C2">
            <w:pPr>
              <w:spacing w:after="40"/>
              <w:rPr>
                <w:rFonts w:hint="default" w:ascii="Times New Roman" w:hAnsi="Times New Roman" w:cs="Times New Roman"/>
                <w:sz w:val="22"/>
                <w:szCs w:val="22"/>
              </w:rPr>
            </w:pPr>
            <w:r>
              <w:rPr>
                <w:rFonts w:hint="default" w:ascii="Times New Roman" w:hAnsi="Times New Roman" w:eastAsia="SimSun" w:cs="Times New Roman"/>
                <w:b/>
                <w:bCs/>
                <w:sz w:val="22"/>
                <w:szCs w:val="22"/>
              </w:rPr>
              <w:t>Phục vụ Existing Systems:</w:t>
            </w:r>
            <w:r>
              <w:rPr>
                <w:rFonts w:hint="default" w:ascii="Times New Roman" w:hAnsi="Times New Roman" w:eastAsia="SimSun" w:cs="Times New Roman"/>
                <w:sz w:val="22"/>
                <w:szCs w:val="22"/>
              </w:rPr>
              <w:t xml:space="preserve"> Phân tích hạn chế của các mô hình cũ (rời rạc, kém linh hoạt) để làm nổi bật giải pháp đặt xe trực tuyến và quản lý tập trung của dự án.</w:t>
            </w:r>
          </w:p>
        </w:tc>
      </w:tr>
      <w:tr w14:paraId="13662B45">
        <w:tblPrEx>
          <w:tblCellMar>
            <w:top w:w="0" w:type="dxa"/>
            <w:left w:w="108" w:type="dxa"/>
            <w:bottom w:w="0" w:type="dxa"/>
            <w:right w:w="108" w:type="dxa"/>
          </w:tblCellMar>
        </w:tblPrEx>
        <w:trPr>
          <w:jc w:val="center"/>
        </w:trPr>
        <w:tc>
          <w:tcPr>
            <w:tcW w:w="5184" w:type="dxa"/>
          </w:tcPr>
          <w:p w14:paraId="731CBAC2">
            <w:pPr>
              <w:spacing w:after="40"/>
              <w:rPr>
                <w:rFonts w:hint="default" w:ascii="Times New Roman" w:hAnsi="Times New Roman" w:cs="Times New Roman"/>
                <w:sz w:val="22"/>
                <w:szCs w:val="22"/>
              </w:rPr>
            </w:pPr>
            <w:r>
              <w:rPr>
                <w:rFonts w:hint="default" w:ascii="Times New Roman" w:hAnsi="Times New Roman" w:eastAsia="SimSun" w:cs="Times New Roman"/>
                <w:sz w:val="22"/>
                <w:szCs w:val="22"/>
              </w:rPr>
              <w:t>Trình bày giải pháp thực tế ứng dụng IoT (GPS, cổng OBD) để giám sát vị trí và trạng thái xe từ xa.</w:t>
            </w:r>
          </w:p>
        </w:tc>
        <w:tc>
          <w:tcPr>
            <w:tcW w:w="5184" w:type="dxa"/>
          </w:tcPr>
          <w:p w14:paraId="30359A1E">
            <w:pPr>
              <w:spacing w:after="40"/>
              <w:rPr>
                <w:rFonts w:hint="default" w:ascii="Times New Roman" w:hAnsi="Times New Roman" w:cs="Times New Roman"/>
                <w:sz w:val="22"/>
                <w:szCs w:val="22"/>
              </w:rPr>
            </w:pPr>
            <w:r>
              <w:rPr>
                <w:rFonts w:hint="default" w:ascii="Times New Roman" w:hAnsi="Times New Roman" w:eastAsia="SimSun" w:cs="Times New Roman"/>
                <w:b/>
                <w:bCs/>
                <w:sz w:val="22"/>
                <w:szCs w:val="22"/>
              </w:rPr>
              <w:t>Phục vụ Scope</w:t>
            </w:r>
            <w:r>
              <w:rPr>
                <w:rFonts w:hint="default" w:ascii="Times New Roman" w:hAnsi="Times New Roman" w:eastAsia="SimSun" w:cs="Times New Roman"/>
                <w:sz w:val="22"/>
                <w:szCs w:val="22"/>
              </w:rPr>
              <w:t>:</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Củng cố cơ sở lý thuyết để xây dựng tính năng "Quản lý đội xe" (kiểm tra tình trạng, vị trí, mức nhiên liệu/pin khi nhận - trả xe).</w:t>
            </w:r>
          </w:p>
        </w:tc>
      </w:tr>
      <w:tr w14:paraId="2E23C422">
        <w:tblPrEx>
          <w:tblCellMar>
            <w:top w:w="0" w:type="dxa"/>
            <w:left w:w="108" w:type="dxa"/>
            <w:bottom w:w="0" w:type="dxa"/>
            <w:right w:w="108" w:type="dxa"/>
          </w:tblCellMar>
        </w:tblPrEx>
        <w:trPr>
          <w:jc w:val="center"/>
        </w:trPr>
        <w:tc>
          <w:tcPr>
            <w:tcW w:w="5184" w:type="dxa"/>
          </w:tcPr>
          <w:p w14:paraId="5196BCA6">
            <w:pPr>
              <w:spacing w:after="40"/>
              <w:rPr>
                <w:rFonts w:hint="default" w:ascii="Times New Roman" w:hAnsi="Times New Roman" w:cs="Times New Roman"/>
                <w:sz w:val="22"/>
                <w:szCs w:val="22"/>
              </w:rPr>
            </w:pPr>
            <w:r>
              <w:rPr>
                <w:rFonts w:hint="default" w:ascii="Times New Roman" w:hAnsi="Times New Roman" w:eastAsia="SimSun" w:cs="Times New Roman"/>
                <w:sz w:val="22"/>
                <w:szCs w:val="22"/>
              </w:rPr>
              <w:t>Giải quyết trực tiếp bài toán bảo vệ tài sản và quản lý rủi ro trong ngành cho thuê xe tự lái.</w:t>
            </w:r>
          </w:p>
        </w:tc>
        <w:tc>
          <w:tcPr>
            <w:tcW w:w="5184" w:type="dxa"/>
          </w:tcPr>
          <w:p w14:paraId="1ED00A31">
            <w:pPr>
              <w:spacing w:after="40"/>
              <w:rPr>
                <w:rFonts w:hint="default" w:ascii="Times New Roman" w:hAnsi="Times New Roman" w:cs="Times New Roman"/>
                <w:sz w:val="22"/>
                <w:szCs w:val="22"/>
              </w:rPr>
            </w:pPr>
            <w:r>
              <w:rPr>
                <w:rFonts w:hint="default" w:ascii="Times New Roman" w:hAnsi="Times New Roman" w:eastAsia="SimSun" w:cs="Times New Roman"/>
                <w:b/>
                <w:bCs/>
                <w:sz w:val="22"/>
                <w:szCs w:val="22"/>
              </w:rPr>
              <w:t>Phục vụ Existing Systems:</w:t>
            </w:r>
            <w:r>
              <w:rPr>
                <w:rFonts w:hint="default" w:ascii="Times New Roman" w:hAnsi="Times New Roman" w:eastAsia="SimSun" w:cs="Times New Roman"/>
                <w:sz w:val="22"/>
                <w:szCs w:val="22"/>
              </w:rPr>
              <w:t xml:space="preserve"> Tham khảo các hệ thống giám sát hiện hành để thiết kế quy trình bàn giao xe điện tử an toàn, hỗ trợ cung cấp bằng chứng giải quyết khiếu nại, sự cố.</w:t>
            </w:r>
          </w:p>
        </w:tc>
      </w:tr>
    </w:tbl>
    <w:p w14:paraId="085F016A">
      <w:r>
        <w:br w:type="page"/>
      </w:r>
    </w:p>
    <w:tbl>
      <w:tblPr>
        <w:tblStyle w:val="12"/>
        <w:tblW w:w="0" w:type="auto"/>
        <w:jc w:val="center"/>
        <w:tblLayout w:type="autofit"/>
        <w:tblCellMar>
          <w:top w:w="0" w:type="dxa"/>
          <w:left w:w="108" w:type="dxa"/>
          <w:bottom w:w="0" w:type="dxa"/>
          <w:right w:w="108" w:type="dxa"/>
        </w:tblCellMar>
      </w:tblPr>
      <w:tblGrid>
        <w:gridCol w:w="2232"/>
        <w:gridCol w:w="8136"/>
      </w:tblGrid>
      <w:tr w14:paraId="2A96E1BC">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3FC60411">
            <w:r>
              <w:rPr>
                <w:rFonts w:hint="default"/>
                <w:b/>
                <w:color w:val="1F4E79"/>
                <w:sz w:val="28"/>
                <w:lang w:val="en-US"/>
              </w:rPr>
              <w:t>2</w:t>
            </w:r>
            <w:r>
              <w:rPr>
                <w:b/>
                <w:color w:val="1F4E79"/>
                <w:sz w:val="28"/>
              </w:rPr>
              <w:t xml:space="preserve">. PAPER </w:t>
            </w:r>
            <w:r>
              <w:rPr>
                <w:rFonts w:hint="default"/>
                <w:b/>
                <w:color w:val="1F4E79"/>
                <w:sz w:val="28"/>
                <w:lang w:val="en-US"/>
              </w:rPr>
              <w:t>1</w:t>
            </w:r>
            <w:r>
              <w:rPr>
                <w:b/>
                <w:color w:val="1F4E79"/>
                <w:sz w:val="28"/>
              </w:rPr>
              <w:t>: OBSERVED PATTERNS OF FREE-FLOATING CAR-SHARING USE</w:t>
            </w:r>
          </w:p>
        </w:tc>
      </w:tr>
      <w:tr w14:paraId="3A72E290">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95EAFCD">
            <w:pPr>
              <w:spacing w:after="40"/>
            </w:pPr>
            <w:r>
              <w:rPr>
                <w:b/>
                <w:sz w:val="21"/>
              </w:rPr>
              <w:t>Paper Title</w:t>
            </w:r>
          </w:p>
        </w:tc>
        <w:tc>
          <w:tcPr>
            <w:tcW w:w="7704" w:type="dxa"/>
            <w:tcBorders>
              <w:top w:val="single" w:color="5B9BD5" w:sz="8" w:space="0"/>
              <w:left w:val="single" w:color="5B9BD5" w:sz="8" w:space="0"/>
              <w:bottom w:val="single" w:color="5B9BD5" w:sz="8" w:space="0"/>
              <w:right w:val="single" w:color="5B9BD5" w:sz="8" w:space="0"/>
            </w:tcBorders>
            <w:vAlign w:val="center"/>
          </w:tcPr>
          <w:p w14:paraId="408B48C1">
            <w:pPr>
              <w:spacing w:after="40"/>
            </w:pPr>
            <w:r>
              <w:rPr>
                <w:rFonts w:hint="default"/>
                <w:lang w:val="en-US"/>
              </w:rPr>
              <w:t>VEHICLE  LOCATION AND STATUS TRACKING SYSTEM USING GPS, GSM/GPRS, AND OBD TECHNOLOFIES.</w:t>
            </w:r>
          </w:p>
        </w:tc>
      </w:tr>
      <w:tr w14:paraId="5F1EE28B">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46A8EF8">
            <w:pPr>
              <w:spacing w:after="40"/>
            </w:pPr>
            <w:r>
              <w:rPr>
                <w:b/>
                <w:sz w:val="21"/>
              </w:rPr>
              <w:t>Authors</w:t>
            </w:r>
          </w:p>
        </w:tc>
        <w:tc>
          <w:tcPr>
            <w:tcW w:w="7704" w:type="dxa"/>
            <w:tcBorders>
              <w:top w:val="single" w:color="5B9BD5" w:sz="8" w:space="0"/>
              <w:left w:val="single" w:color="5B9BD5" w:sz="8" w:space="0"/>
              <w:bottom w:val="single" w:color="5B9BD5" w:sz="8" w:space="0"/>
              <w:right w:val="single" w:color="5B9BD5" w:sz="8" w:space="0"/>
            </w:tcBorders>
            <w:vAlign w:val="center"/>
          </w:tcPr>
          <w:p w14:paraId="66FBA612">
            <w:pPr>
              <w:spacing w:after="40"/>
            </w:pPr>
            <w:r>
              <w:t>Einstein Yap Ming Yu, Ts. Dr. Ngu War Hlaing, Pyi Phyo Aung</w:t>
            </w:r>
          </w:p>
        </w:tc>
      </w:tr>
      <w:tr w14:paraId="3DD46D99">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E5DED0">
            <w:pPr>
              <w:spacing w:after="40"/>
              <w:rPr>
                <w:rFonts w:hint="default"/>
                <w:lang w:val="en-US"/>
              </w:rPr>
            </w:pPr>
            <w:r>
              <w:rPr>
                <w:rFonts w:hint="default"/>
                <w:b/>
                <w:sz w:val="21"/>
                <w:lang w:val="en-US"/>
              </w:rPr>
              <w:t>Published</w:t>
            </w:r>
          </w:p>
        </w:tc>
        <w:tc>
          <w:tcPr>
            <w:tcW w:w="7704" w:type="dxa"/>
            <w:tcBorders>
              <w:top w:val="single" w:color="5B9BD5" w:sz="8" w:space="0"/>
              <w:left w:val="single" w:color="5B9BD5" w:sz="8" w:space="0"/>
              <w:bottom w:val="single" w:color="5B9BD5" w:sz="8" w:space="0"/>
              <w:right w:val="single" w:color="5B9BD5" w:sz="8" w:space="0"/>
            </w:tcBorders>
            <w:vAlign w:val="center"/>
          </w:tcPr>
          <w:p w14:paraId="13A1B61F">
            <w:pPr>
              <w:spacing w:after="40"/>
              <w:rPr>
                <w:rFonts w:hint="default"/>
                <w:lang w:val="en-US"/>
              </w:rPr>
            </w:pPr>
            <w:r>
              <w:rPr>
                <w:rFonts w:hint="default"/>
                <w:lang w:val="en-US"/>
              </w:rPr>
              <w:t>08 January 2026</w:t>
            </w:r>
          </w:p>
        </w:tc>
      </w:tr>
      <w:tr w14:paraId="2F7FFC8E">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97D521D">
            <w:pPr>
              <w:spacing w:after="40"/>
            </w:pPr>
            <w:r>
              <w:rPr>
                <w:b/>
                <w:sz w:val="21"/>
              </w:rPr>
              <w:t>Source / Publisher</w:t>
            </w:r>
          </w:p>
        </w:tc>
        <w:tc>
          <w:tcPr>
            <w:tcW w:w="7704" w:type="dxa"/>
            <w:tcBorders>
              <w:top w:val="single" w:color="5B9BD5" w:sz="8" w:space="0"/>
              <w:left w:val="single" w:color="5B9BD5" w:sz="8" w:space="0"/>
              <w:bottom w:val="single" w:color="5B9BD5" w:sz="8" w:space="0"/>
              <w:right w:val="single" w:color="5B9BD5" w:sz="8" w:space="0"/>
            </w:tcBorders>
            <w:vAlign w:val="center"/>
          </w:tcPr>
          <w:p w14:paraId="77C3D99B">
            <w:pPr>
              <w:spacing w:after="40"/>
              <w:rPr>
                <w:rFonts w:hint="default"/>
                <w:lang w:val="en-US"/>
              </w:rPr>
            </w:pPr>
            <w:r>
              <w:t>Springer</w:t>
            </w:r>
            <w:r>
              <w:rPr>
                <w:rFonts w:hint="default"/>
                <w:lang w:val="en-US"/>
              </w:rPr>
              <w:t>( Smart Computing Paradigms: Intelligence and Network Applications)</w:t>
            </w:r>
          </w:p>
        </w:tc>
      </w:tr>
      <w:tr w14:paraId="56E671A4">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C08A721">
            <w:pPr>
              <w:spacing w:after="40"/>
            </w:pPr>
            <w:r>
              <w:rPr>
                <w:b/>
                <w:sz w:val="21"/>
              </w:rPr>
              <w:t>DOI</w:t>
            </w:r>
          </w:p>
        </w:tc>
        <w:tc>
          <w:tcPr>
            <w:tcW w:w="7704" w:type="dxa"/>
            <w:tcBorders>
              <w:top w:val="single" w:color="5B9BD5" w:sz="8" w:space="0"/>
              <w:left w:val="single" w:color="5B9BD5" w:sz="8" w:space="0"/>
              <w:bottom w:val="single" w:color="5B9BD5" w:sz="8" w:space="0"/>
              <w:right w:val="single" w:color="5B9BD5" w:sz="8" w:space="0"/>
            </w:tcBorders>
            <w:vAlign w:val="center"/>
          </w:tcPr>
          <w:p w14:paraId="53008B22">
            <w:pPr>
              <w:spacing w:after="40"/>
            </w:pPr>
            <w:r>
              <w:rPr>
                <w:rFonts w:hint="default"/>
                <w:sz w:val="21"/>
              </w:rPr>
              <w:t>10.1007/978-3-032-08240-4_19</w:t>
            </w:r>
          </w:p>
        </w:tc>
      </w:tr>
      <w:tr w14:paraId="3C489AC6">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1A275B2">
            <w:pPr>
              <w:spacing w:after="40"/>
            </w:pPr>
            <w:r>
              <w:rPr>
                <w:b/>
                <w:sz w:val="21"/>
              </w:rPr>
              <w:t>Keywords</w:t>
            </w:r>
          </w:p>
        </w:tc>
        <w:tc>
          <w:tcPr>
            <w:tcW w:w="7704" w:type="dxa"/>
            <w:tcBorders>
              <w:top w:val="single" w:color="5B9BD5" w:sz="8" w:space="0"/>
              <w:left w:val="single" w:color="5B9BD5" w:sz="8" w:space="0"/>
              <w:bottom w:val="single" w:color="5B9BD5" w:sz="8" w:space="0"/>
              <w:right w:val="single" w:color="5B9BD5" w:sz="8" w:space="0"/>
            </w:tcBorders>
            <w:vAlign w:val="center"/>
          </w:tcPr>
          <w:p w14:paraId="308A14B1">
            <w:pPr>
              <w:spacing w:after="40"/>
            </w:pPr>
            <w:r>
              <w:t>Vehicle tracking, GPS, GSM/GPRS, OBD (On-Board Diagnostics), IoT, Real-time monitoring.</w:t>
            </w:r>
          </w:p>
        </w:tc>
      </w:tr>
      <w:tr w14:paraId="1E864CCF">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shd w:val="clear" w:color="auto" w:fill="EAF2F8"/>
            <w:vAlign w:val="center"/>
          </w:tcPr>
          <w:p w14:paraId="48667AEA">
            <w:r>
              <w:rPr>
                <w:b/>
              </w:rPr>
              <w:t>Research Objective</w:t>
            </w:r>
          </w:p>
        </w:tc>
      </w:tr>
      <w:tr w14:paraId="5FAFAF07">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vAlign w:val="center"/>
          </w:tcPr>
          <w:p w14:paraId="4BA3A2F7">
            <w:pPr>
              <w:spacing w:after="100"/>
              <w:jc w:val="both"/>
            </w:pPr>
            <w:r>
              <w:t>Thiết kế và triển khai một hệ thống giám sát và theo dõi xe theo thời gian thực với chi phí thấp. Nghiên cứu nhằm mục đích tích hợp hệ thống định vị GPS (để xác định tọa độ), mạng GSM/GPRS (để truyền dữ liệu) và công nghệ OBD (để đọc trạng thái hệ thống xe) thành một nền tảng thống nhất.</w:t>
            </w:r>
          </w:p>
        </w:tc>
      </w:tr>
    </w:tbl>
    <w:p w14:paraId="71DA7C74"/>
    <w:tbl>
      <w:tblPr>
        <w:tblStyle w:val="12"/>
        <w:tblW w:w="0" w:type="auto"/>
        <w:jc w:val="center"/>
        <w:tblLayout w:type="autofit"/>
        <w:tblCellMar>
          <w:top w:w="0" w:type="dxa"/>
          <w:left w:w="108" w:type="dxa"/>
          <w:bottom w:w="0" w:type="dxa"/>
          <w:right w:w="108" w:type="dxa"/>
        </w:tblCellMar>
      </w:tblPr>
      <w:tblGrid>
        <w:gridCol w:w="10368"/>
      </w:tblGrid>
      <w:tr w14:paraId="29602A6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5E550F8">
            <w:r>
              <w:rPr>
                <w:b/>
              </w:rPr>
              <w:t>Main Content</w:t>
            </w:r>
          </w:p>
        </w:tc>
      </w:tr>
      <w:tr w14:paraId="31A62085">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340B5419">
            <w:pPr>
              <w:spacing w:after="100"/>
              <w:jc w:val="both"/>
            </w:pPr>
            <w:r>
              <w:t>Bài báo đề xuất một hệ thống giám sát phương tiện dựa trên nền tảng Internet of Things (IoT). Hệ thống sử dụng mô-đun GPS để lấy tọa độ địa lý theo chu kỳ và mạng viễn thông GSM/GPRS để liên tục gửi dữ liệu về cơ sở dữ liệu trung tâm. Bên cạnh đó, thiết bị OBD (On-Board Diagnostics) được kết nối để đọc các thông số kỹ thuật bên trong của xe. Dữ liệu này sau đó được trực quan hóa trên bản đồ thông qua ứng dụng điện thoại thông minh và web.</w:t>
            </w:r>
          </w:p>
        </w:tc>
      </w:tr>
    </w:tbl>
    <w:p w14:paraId="4D3A5533"/>
    <w:tbl>
      <w:tblPr>
        <w:tblStyle w:val="12"/>
        <w:tblW w:w="0" w:type="auto"/>
        <w:jc w:val="center"/>
        <w:tblLayout w:type="autofit"/>
        <w:tblCellMar>
          <w:top w:w="0" w:type="dxa"/>
          <w:left w:w="108" w:type="dxa"/>
          <w:bottom w:w="0" w:type="dxa"/>
          <w:right w:w="108" w:type="dxa"/>
        </w:tblCellMar>
      </w:tblPr>
      <w:tblGrid>
        <w:gridCol w:w="10368"/>
      </w:tblGrid>
      <w:tr w14:paraId="19D735F2">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1E358EC">
            <w:r>
              <w:rPr>
                <w:b/>
              </w:rPr>
              <w:t>Method / Technology Used</w:t>
            </w:r>
          </w:p>
        </w:tc>
      </w:tr>
      <w:tr w14:paraId="270BA2DC">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3C88C0A9">
            <w:pPr>
              <w:spacing w:after="100"/>
              <w:jc w:val="both"/>
            </w:pPr>
            <w:r>
              <w:rPr>
                <w:rFonts w:hint="default"/>
                <w:lang w:val="en-US"/>
              </w:rPr>
              <w:t>-</w:t>
            </w:r>
            <w:r>
              <w:rPr>
                <w:rFonts w:hint="eastAsia"/>
              </w:rPr>
              <w:t xml:space="preserve"> </w:t>
            </w:r>
            <w:r>
              <w:rPr>
                <w:b/>
                <w:bCs/>
              </w:rPr>
              <w:t>Phần cứng</w:t>
            </w:r>
            <w:r>
              <w:t>: Các vi điều khiển (như Arduino, ESP32) đóng vai trò làm lõi xử lý trung tâm, kết hợp cùng mô-đun định vị (NEO-6M), mô-đun giao tiếp mạng di động (SIM800L) và thiết bị giao tiếp qua cổng OBD-II.</w:t>
            </w:r>
          </w:p>
          <w:p w14:paraId="78F696FF">
            <w:pPr>
              <w:spacing w:after="100"/>
              <w:jc w:val="both"/>
            </w:pPr>
            <w:r>
              <w:rPr>
                <w:rFonts w:hint="default"/>
                <w:lang w:val="en-US"/>
              </w:rPr>
              <w:t xml:space="preserve">- </w:t>
            </w:r>
            <w:r>
              <w:rPr>
                <w:b/>
                <w:bCs/>
              </w:rPr>
              <w:t>Phần mềm/Nền tảng</w:t>
            </w:r>
            <w:r>
              <w:t>: Ứng dụng điện thoại thông minh tích hợp Google Maps API để hiển thị bản đồ. Các nền tảng IoT Dashboard (như ThingSpeak, Freeboard) được sử dụng để vẽ biểu đồ và trực quan hóa dữ liệu trạng thái xe.</w:t>
            </w:r>
          </w:p>
        </w:tc>
      </w:tr>
    </w:tbl>
    <w:p w14:paraId="04738CE5"/>
    <w:tbl>
      <w:tblPr>
        <w:tblStyle w:val="12"/>
        <w:tblW w:w="0" w:type="auto"/>
        <w:jc w:val="center"/>
        <w:tblLayout w:type="autofit"/>
        <w:tblCellMar>
          <w:top w:w="0" w:type="dxa"/>
          <w:left w:w="108" w:type="dxa"/>
          <w:bottom w:w="0" w:type="dxa"/>
          <w:right w:w="108" w:type="dxa"/>
        </w:tblCellMar>
      </w:tblPr>
      <w:tblGrid>
        <w:gridCol w:w="10368"/>
      </w:tblGrid>
      <w:tr w14:paraId="369FF507">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FF0DECB">
            <w:r>
              <w:rPr>
                <w:b/>
              </w:rPr>
              <w:t>Key Findings</w:t>
            </w:r>
          </w:p>
        </w:tc>
      </w:tr>
      <w:tr w14:paraId="2B8B7F14">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43E461DF">
            <w:pPr>
              <w:spacing w:after="100"/>
              <w:jc w:val="both"/>
            </w:pPr>
            <w:r>
              <w:t>Việc kết hợp vi điều khiển cùng GPS, viễn thông GSM/GPRS và OBD mang lại một giải pháp theo dõi phương tiện hoạt động ổn định với độ chính xác cao. Người dùng có thể dễ dàng truy cập vào ứng dụng di động để theo dõi không chỉ vị trí chính xác (phục vụ chống trộm) mà còn giám sát được tình trạng hoạt động thực tế của xe (tốc độ, lỗi động cơ) từ xa thông qua internet.</w:t>
            </w:r>
          </w:p>
        </w:tc>
      </w:tr>
    </w:tbl>
    <w:p w14:paraId="2196FEA8"/>
    <w:tbl>
      <w:tblPr>
        <w:tblStyle w:val="12"/>
        <w:tblW w:w="0" w:type="auto"/>
        <w:jc w:val="center"/>
        <w:tblLayout w:type="autofit"/>
        <w:tblCellMar>
          <w:top w:w="0" w:type="dxa"/>
          <w:left w:w="108" w:type="dxa"/>
          <w:bottom w:w="0" w:type="dxa"/>
          <w:right w:w="108" w:type="dxa"/>
        </w:tblCellMar>
      </w:tblPr>
      <w:tblGrid>
        <w:gridCol w:w="10368"/>
      </w:tblGrid>
      <w:tr w14:paraId="71FF7D5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8B42516">
            <w:r>
              <w:rPr>
                <w:b/>
              </w:rPr>
              <w:t>Advantages</w:t>
            </w:r>
          </w:p>
        </w:tc>
      </w:tr>
      <w:tr w14:paraId="2A3BD0A3">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46439870">
            <w:pPr>
              <w:spacing w:after="100"/>
              <w:jc w:val="both"/>
            </w:pPr>
            <w:r>
              <w:t>Chi phí linh kiện và triển khai phần cứng thấp nhưng đem lại hiệu quả cao. Giải pháp mang lại lợi ích kép: vừa cung cấp tính năng định vị chống trộm, vừa chẩn đoán được "sức khỏe" của phương tiện. Dữ liệu được đồng bộ liên tục giúp quản lý tài sản từ xa cực kỳ thuận tiện.</w:t>
            </w:r>
          </w:p>
        </w:tc>
      </w:tr>
    </w:tbl>
    <w:p w14:paraId="53BFCFC9"/>
    <w:tbl>
      <w:tblPr>
        <w:tblStyle w:val="12"/>
        <w:tblW w:w="0" w:type="auto"/>
        <w:jc w:val="center"/>
        <w:tblLayout w:type="autofit"/>
        <w:tblCellMar>
          <w:top w:w="0" w:type="dxa"/>
          <w:left w:w="108" w:type="dxa"/>
          <w:bottom w:w="0" w:type="dxa"/>
          <w:right w:w="108" w:type="dxa"/>
        </w:tblCellMar>
      </w:tblPr>
      <w:tblGrid>
        <w:gridCol w:w="10368"/>
      </w:tblGrid>
      <w:tr w14:paraId="29FD9D79">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093324E">
            <w:r>
              <w:rPr>
                <w:b/>
              </w:rPr>
              <w:t>Limitations</w:t>
            </w:r>
          </w:p>
        </w:tc>
      </w:tr>
      <w:tr w14:paraId="14623732">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547F3D6">
            <w:pPr>
              <w:spacing w:after="100"/>
              <w:jc w:val="both"/>
            </w:pPr>
            <w:r>
              <w:t>Điểm yếu lớn nhất là hệ thống phụ thuộc hoàn toàn vào vùng phủ sóng viễn thông (GSM/GPRS) và tín hiệu vệ tinh (GPS). Nếu xe di chuyển vào các khu vực hẻo lánh không có sóng di động, tầng hầm hoặc đường hầm, quá trình truyền tải dữ liệu theo thời gian thực sẽ bị gián đoạn.</w:t>
            </w:r>
          </w:p>
        </w:tc>
      </w:tr>
    </w:tbl>
    <w:p w14:paraId="16EC235A"/>
    <w:tbl>
      <w:tblPr>
        <w:tblStyle w:val="12"/>
        <w:tblW w:w="0" w:type="auto"/>
        <w:jc w:val="center"/>
        <w:tblLayout w:type="autofit"/>
        <w:tblCellMar>
          <w:top w:w="0" w:type="dxa"/>
          <w:left w:w="108" w:type="dxa"/>
          <w:bottom w:w="0" w:type="dxa"/>
          <w:right w:w="108" w:type="dxa"/>
        </w:tblCellMar>
      </w:tblPr>
      <w:tblGrid>
        <w:gridCol w:w="10368"/>
      </w:tblGrid>
      <w:tr w14:paraId="4A796332">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C14F148">
            <w:r>
              <w:rPr>
                <w:b/>
              </w:rPr>
              <w:t>Relevance to Our Project</w:t>
            </w:r>
          </w:p>
        </w:tc>
      </w:tr>
      <w:tr w14:paraId="5EFFBA53">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6DB54AB4">
            <w:pPr>
              <w:spacing w:after="100"/>
              <w:jc w:val="both"/>
            </w:pPr>
            <w:r>
              <w:t>Cung cấp nền tảng lý thuyết và kỹ thuật cực kỳ sát với tính năng "Quản lý phương tiện", "Theo dõi đơn đặt xe"  và "Nhận/trả xe" của dự án. Đây là công nghệ cốt lõi giúp hệ thống web có thể giao tiếp với xe vật lý, từ đó kiểm tra tự động vị trí, mức pin/nhiên liệu khi bàn giao và hỗ trợ xử lý khiếu nại khi có sự cố trên đường.</w:t>
            </w:r>
          </w:p>
        </w:tc>
      </w:tr>
    </w:tbl>
    <w:p w14:paraId="139BE164"/>
    <w:tbl>
      <w:tblPr>
        <w:tblStyle w:val="12"/>
        <w:tblW w:w="0" w:type="auto"/>
        <w:jc w:val="center"/>
        <w:tblLayout w:type="autofit"/>
        <w:tblCellMar>
          <w:top w:w="0" w:type="dxa"/>
          <w:left w:w="108" w:type="dxa"/>
          <w:bottom w:w="0" w:type="dxa"/>
          <w:right w:w="108" w:type="dxa"/>
        </w:tblCellMar>
      </w:tblPr>
      <w:tblGrid>
        <w:gridCol w:w="10368"/>
      </w:tblGrid>
      <w:tr w14:paraId="68EE956E">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E2267A2">
            <w:r>
              <w:rPr>
                <w:b/>
              </w:rPr>
              <w:t>Personal Evaluation</w:t>
            </w:r>
          </w:p>
        </w:tc>
      </w:tr>
      <w:tr w14:paraId="5B9BF86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0412ADA3">
            <w:pPr>
              <w:spacing w:after="100"/>
              <w:jc w:val="both"/>
              <w:rPr>
                <w:rFonts w:hint="default"/>
                <w:lang w:val="en-US"/>
              </w:rPr>
            </w:pPr>
            <w:r>
              <w:rPr>
                <w:rFonts w:hint="default"/>
                <w:lang w:val="en-US"/>
              </w:rPr>
              <w:t>Bài báo cung cấp khung kiến trúc kỹ thuật(Technical foundation) một cách thực tế và rõ ràng. Đối với một nền tảng cho thuê xe tự lái (C2C/B2C), nỗi lo lớn nhất của Chủ xe là mất cắp hoặc hỏng hóc tài sản do người thuê gây ra. Việc ứng dụng thiết kế IoT như trong nghiên cứu này có thể dễ dàng được mở rộng bằng cách truyền các gói dữ liệu thu thập được (vị trí, trạng thái) vào thẳng cơ sở dữ liệu SQL Server của dự án thông qua các API, tạo thành một hệ thống quản lý khép kín, an toàn và minh bạch.</w:t>
            </w:r>
          </w:p>
        </w:tc>
      </w:tr>
    </w:tbl>
    <w:p w14:paraId="2F9D3112"/>
    <w:p w14:paraId="62BCF042"/>
    <w:tbl>
      <w:tblPr>
        <w:tblStyle w:val="12"/>
        <w:tblW w:w="0" w:type="auto"/>
        <w:jc w:val="center"/>
        <w:tblLayout w:type="autofit"/>
        <w:tblCellMar>
          <w:top w:w="0" w:type="dxa"/>
          <w:left w:w="108" w:type="dxa"/>
          <w:bottom w:w="0" w:type="dxa"/>
          <w:right w:w="108" w:type="dxa"/>
        </w:tblCellMar>
      </w:tblPr>
      <w:tblGrid>
        <w:gridCol w:w="4740"/>
        <w:gridCol w:w="5988"/>
      </w:tblGrid>
      <w:tr w14:paraId="02DEF380">
        <w:tblPrEx>
          <w:tblCellMar>
            <w:top w:w="0" w:type="dxa"/>
            <w:left w:w="108" w:type="dxa"/>
            <w:bottom w:w="0" w:type="dxa"/>
            <w:right w:w="108" w:type="dxa"/>
          </w:tblCellMar>
        </w:tblPrEx>
        <w:trPr>
          <w:jc w:val="center"/>
        </w:trPr>
        <w:tc>
          <w:tcPr>
            <w:tcW w:w="3312"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21F0ED69">
            <w:r>
              <w:rPr>
                <w:b/>
                <w:color w:val="FFFFFF"/>
                <w:sz w:val="21"/>
              </w:rPr>
              <w:t>Gợi ý áp dụng vào dự án</w:t>
            </w:r>
          </w:p>
        </w:tc>
        <w:tc>
          <w:tcPr>
            <w:tcW w:w="662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7AB03D98">
            <w:r>
              <w:rPr>
                <w:b/>
                <w:color w:val="FFFFFF"/>
                <w:sz w:val="21"/>
              </w:rPr>
              <w:t>Ý nghĩa</w:t>
            </w:r>
          </w:p>
        </w:tc>
      </w:tr>
      <w:tr w14:paraId="405A3910">
        <w:tblPrEx>
          <w:tblCellMar>
            <w:top w:w="0" w:type="dxa"/>
            <w:left w:w="108" w:type="dxa"/>
            <w:bottom w:w="0" w:type="dxa"/>
            <w:right w:w="108" w:type="dxa"/>
          </w:tblCellMar>
        </w:tblPrEx>
        <w:trPr>
          <w:jc w:val="center"/>
        </w:trPr>
        <w:tc>
          <w:tcPr>
            <w:tcW w:w="5184" w:type="dxa"/>
          </w:tcPr>
          <w:p w14:paraId="6240B3A4">
            <w:r>
              <w:t>Yêu cầu xe tham gia nền tảng có thiết bị định vị GPS/GPRS.</w:t>
            </w:r>
          </w:p>
        </w:tc>
        <w:tc>
          <w:tcPr>
            <w:tcW w:w="5184" w:type="dxa"/>
          </w:tcPr>
          <w:p w14:paraId="16FAC78A">
            <w:r>
              <w:t>Giúp nền tảng và Chủ xe giám sát tọa độ theo thời gian thực, ngăn chặn nguy cơ mất cắp phương tiện và cung cấp tọa độ cứu hộ chính xác khi khách hàng Báo cáo sự cố</w:t>
            </w:r>
          </w:p>
        </w:tc>
      </w:tr>
      <w:tr w14:paraId="6667A9A2">
        <w:tblPrEx>
          <w:tblCellMar>
            <w:top w:w="0" w:type="dxa"/>
            <w:left w:w="108" w:type="dxa"/>
            <w:bottom w:w="0" w:type="dxa"/>
            <w:right w:w="108" w:type="dxa"/>
          </w:tblCellMar>
        </w:tblPrEx>
        <w:trPr>
          <w:jc w:val="center"/>
        </w:trPr>
        <w:tc>
          <w:tcPr>
            <w:tcW w:w="5184" w:type="dxa"/>
          </w:tcPr>
          <w:p w14:paraId="61716458">
            <w:r>
              <w:t>Sử dụng chuẩn giao tiếp OBD để đọc dữ liệu hệ thống xe.</w:t>
            </w:r>
          </w:p>
        </w:tc>
        <w:tc>
          <w:tcPr>
            <w:tcW w:w="5184" w:type="dxa"/>
          </w:tcPr>
          <w:p w14:paraId="119F5112">
            <w:r>
              <w:t>Tự động hóa việc ghi nhận mức pin/nhiên liệu, số km đã đi và mã lỗi động cơ lúc nhận và trả xe. Điều này giúp biên bản điện tử (UC18) trở nên minh bạch 100%, giảm thiểu tối đa các khiếu nại, tranh chấp.</w:t>
            </w:r>
          </w:p>
        </w:tc>
      </w:tr>
      <w:tr w14:paraId="245B24EC">
        <w:tblPrEx>
          <w:tblCellMar>
            <w:top w:w="0" w:type="dxa"/>
            <w:left w:w="108" w:type="dxa"/>
            <w:bottom w:w="0" w:type="dxa"/>
            <w:right w:w="108" w:type="dxa"/>
          </w:tblCellMar>
        </w:tblPrEx>
        <w:trPr>
          <w:jc w:val="center"/>
        </w:trPr>
        <w:tc>
          <w:tcPr>
            <w:tcW w:w="5184" w:type="dxa"/>
          </w:tcPr>
          <w:p w14:paraId="51FE8944"/>
        </w:tc>
        <w:tc>
          <w:tcPr>
            <w:tcW w:w="5184" w:type="dxa"/>
          </w:tcPr>
          <w:p w14:paraId="69E94517"/>
        </w:tc>
      </w:tr>
      <w:tr w14:paraId="511EAA73">
        <w:tblPrEx>
          <w:tblCellMar>
            <w:top w:w="0" w:type="dxa"/>
            <w:left w:w="108" w:type="dxa"/>
            <w:bottom w:w="0" w:type="dxa"/>
            <w:right w:w="108" w:type="dxa"/>
          </w:tblCellMar>
        </w:tblPrEx>
        <w:trPr>
          <w:jc w:val="center"/>
        </w:trPr>
        <w:tc>
          <w:tcPr>
            <w:tcW w:w="5184" w:type="dxa"/>
          </w:tcPr>
          <w:p w14:paraId="53A5709B"/>
        </w:tc>
        <w:tc>
          <w:tcPr>
            <w:tcW w:w="5184" w:type="dxa"/>
          </w:tcPr>
          <w:p w14:paraId="17F28795"/>
        </w:tc>
      </w:tr>
    </w:tbl>
    <w:p w14:paraId="5CF60352"/>
    <w:p w14:paraId="298458CA"/>
    <w:p w14:paraId="5CF06A0D"/>
    <w:p w14:paraId="5AA0A447"/>
    <w:p w14:paraId="1FE13E00"/>
    <w:p w14:paraId="7205EDD3"/>
    <w:p w14:paraId="2523DE12"/>
    <w:p w14:paraId="324C4C2F"/>
    <w:p w14:paraId="2A0CB7CC"/>
    <w:p w14:paraId="055B3C42"/>
    <w:p w14:paraId="52D171C1"/>
    <w:p w14:paraId="311C5613"/>
    <w:p w14:paraId="7055285D"/>
    <w:p w14:paraId="42B1EDDD"/>
    <w:p w14:paraId="33750194"/>
    <w:tbl>
      <w:tblPr>
        <w:tblStyle w:val="12"/>
        <w:tblW w:w="0" w:type="auto"/>
        <w:jc w:val="center"/>
        <w:tblLayout w:type="autofit"/>
        <w:tblCellMar>
          <w:top w:w="0" w:type="dxa"/>
          <w:left w:w="108" w:type="dxa"/>
          <w:bottom w:w="0" w:type="dxa"/>
          <w:right w:w="108" w:type="dxa"/>
        </w:tblCellMar>
      </w:tblPr>
      <w:tblGrid>
        <w:gridCol w:w="2232"/>
        <w:gridCol w:w="8136"/>
      </w:tblGrid>
      <w:tr w14:paraId="5EE27B24">
        <w:tblPrEx>
          <w:tblCellMar>
            <w:top w:w="0" w:type="dxa"/>
            <w:left w:w="108" w:type="dxa"/>
            <w:bottom w:w="0" w:type="dxa"/>
            <w:right w:w="108" w:type="dxa"/>
          </w:tblCellMar>
        </w:tblPrEx>
        <w:trPr>
          <w:jc w:val="center"/>
        </w:trPr>
        <w:tc>
          <w:tcPr>
            <w:tcW w:w="10368" w:type="dxa"/>
            <w:gridSpan w:val="2"/>
            <w:tcBorders>
              <w:top w:val="single" w:color="1F4E79" w:sz="12" w:space="0"/>
              <w:left w:val="single" w:color="1F4E79" w:sz="12" w:space="0"/>
              <w:bottom w:val="single" w:color="1F4E79" w:sz="12" w:space="0"/>
              <w:right w:val="single" w:color="1F4E79" w:sz="12" w:space="0"/>
            </w:tcBorders>
            <w:shd w:val="clear" w:color="auto" w:fill="D9EAF7"/>
            <w:vAlign w:val="center"/>
          </w:tcPr>
          <w:p w14:paraId="67595625">
            <w:pPr>
              <w:rPr>
                <w:rFonts w:hint="default"/>
                <w:lang w:val="en-US"/>
              </w:rPr>
            </w:pPr>
            <w:r>
              <w:rPr>
                <w:rFonts w:hint="default"/>
                <w:b/>
                <w:color w:val="1F4E79"/>
                <w:sz w:val="28"/>
                <w:lang w:val="en-US"/>
              </w:rPr>
              <w:t>3</w:t>
            </w:r>
            <w:r>
              <w:rPr>
                <w:b/>
                <w:color w:val="1F4E79"/>
                <w:sz w:val="28"/>
              </w:rPr>
              <w:t xml:space="preserve">. PAPER </w:t>
            </w:r>
            <w:r>
              <w:rPr>
                <w:rFonts w:hint="default"/>
                <w:b/>
                <w:color w:val="1F4E79"/>
                <w:sz w:val="28"/>
                <w:lang w:val="en-US"/>
              </w:rPr>
              <w:t>2</w:t>
            </w:r>
            <w:r>
              <w:rPr>
                <w:b/>
                <w:color w:val="1F4E79"/>
                <w:sz w:val="28"/>
              </w:rPr>
              <w:t xml:space="preserve">: </w:t>
            </w:r>
            <w:r>
              <w:rPr>
                <w:rFonts w:hint="default"/>
                <w:b/>
                <w:color w:val="1F4E79"/>
                <w:sz w:val="28"/>
                <w:lang w:val="en-US"/>
              </w:rPr>
              <w:t>ON THE BENEFIT OF COMBINING CAR RENTAL AND CAR SHARING</w:t>
            </w:r>
          </w:p>
        </w:tc>
      </w:tr>
      <w:tr w14:paraId="3BACA7AB">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69EC2D4A">
            <w:pPr>
              <w:spacing w:after="40"/>
            </w:pPr>
            <w:r>
              <w:rPr>
                <w:b/>
                <w:sz w:val="21"/>
              </w:rPr>
              <w:t>Paper Title</w:t>
            </w:r>
          </w:p>
        </w:tc>
        <w:tc>
          <w:tcPr>
            <w:tcW w:w="7704" w:type="dxa"/>
            <w:tcBorders>
              <w:top w:val="single" w:color="5B9BD5" w:sz="8" w:space="0"/>
              <w:left w:val="single" w:color="5B9BD5" w:sz="8" w:space="0"/>
              <w:bottom w:val="single" w:color="5B9BD5" w:sz="8" w:space="0"/>
              <w:right w:val="single" w:color="5B9BD5" w:sz="8" w:space="0"/>
            </w:tcBorders>
            <w:vAlign w:val="center"/>
          </w:tcPr>
          <w:p w14:paraId="38A102BC">
            <w:pPr>
              <w:spacing w:after="40"/>
              <w:rPr>
                <w:rFonts w:hint="default" w:ascii="Times New Roman" w:hAnsi="Times New Roman" w:cs="Times New Roman"/>
                <w:sz w:val="22"/>
                <w:szCs w:val="22"/>
              </w:rPr>
            </w:pPr>
            <w:r>
              <w:rPr>
                <w:rFonts w:hint="default" w:ascii="Times New Roman" w:hAnsi="Times New Roman" w:cs="Times New Roman"/>
                <w:sz w:val="22"/>
                <w:szCs w:val="22"/>
                <w:lang w:val="en-US"/>
              </w:rPr>
              <w:t>On the benefit of combining car rental and car sharing.</w:t>
            </w:r>
          </w:p>
        </w:tc>
      </w:tr>
      <w:tr w14:paraId="77DEF9A5">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FFE6B9">
            <w:pPr>
              <w:spacing w:after="40"/>
            </w:pPr>
            <w:r>
              <w:rPr>
                <w:b/>
                <w:sz w:val="21"/>
              </w:rPr>
              <w:t>Authors</w:t>
            </w:r>
          </w:p>
        </w:tc>
        <w:tc>
          <w:tcPr>
            <w:tcW w:w="7704" w:type="dxa"/>
            <w:tcBorders>
              <w:top w:val="single" w:color="5B9BD5" w:sz="8" w:space="0"/>
              <w:left w:val="single" w:color="5B9BD5" w:sz="8" w:space="0"/>
              <w:bottom w:val="single" w:color="5B9BD5" w:sz="8" w:space="0"/>
              <w:right w:val="single" w:color="5B9BD5" w:sz="8" w:space="0"/>
            </w:tcBorders>
            <w:vAlign w:val="center"/>
          </w:tcPr>
          <w:p w14:paraId="2C4002E8">
            <w:pPr>
              <w:spacing w:after="40"/>
              <w:rPr>
                <w:rFonts w:hint="default" w:ascii="Times New Roman" w:hAnsi="Times New Roman" w:cs="Times New Roman"/>
                <w:sz w:val="22"/>
                <w:szCs w:val="22"/>
              </w:rPr>
            </w:pPr>
            <w:r>
              <w:rPr>
                <w:rFonts w:hint="default" w:ascii="Times New Roman" w:hAnsi="Times New Roman" w:eastAsia="SimSun" w:cs="Times New Roman"/>
                <w:sz w:val="22"/>
                <w:szCs w:val="22"/>
              </w:rPr>
              <w:t>Matthias Soppert, Beatriz Brito Oliveira, Ralph Angeles, Claudius Steinhardt</w:t>
            </w:r>
          </w:p>
        </w:tc>
      </w:tr>
      <w:tr w14:paraId="799DFD53">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EA5B70D">
            <w:pPr>
              <w:spacing w:after="40"/>
              <w:rPr>
                <w:rFonts w:hint="default"/>
                <w:lang w:val="en-US"/>
              </w:rPr>
            </w:pPr>
            <w:r>
              <w:rPr>
                <w:rFonts w:hint="default"/>
                <w:b/>
                <w:sz w:val="21"/>
                <w:lang w:val="en-US"/>
              </w:rPr>
              <w:t>Published</w:t>
            </w:r>
          </w:p>
        </w:tc>
        <w:tc>
          <w:tcPr>
            <w:tcW w:w="7704" w:type="dxa"/>
            <w:tcBorders>
              <w:top w:val="single" w:color="5B9BD5" w:sz="8" w:space="0"/>
              <w:left w:val="single" w:color="5B9BD5" w:sz="8" w:space="0"/>
              <w:bottom w:val="single" w:color="5B9BD5" w:sz="8" w:space="0"/>
              <w:right w:val="single" w:color="5B9BD5" w:sz="8" w:space="0"/>
            </w:tcBorders>
            <w:vAlign w:val="center"/>
          </w:tcPr>
          <w:p w14:paraId="345DB82B">
            <w:pPr>
              <w:spacing w:after="40"/>
              <w:rPr>
                <w:rFonts w:hint="default" w:ascii="Times New Roman" w:hAnsi="Times New Roman" w:cs="Times New Roman"/>
                <w:sz w:val="22"/>
                <w:szCs w:val="22"/>
                <w:lang w:val="en-US"/>
              </w:rPr>
            </w:pPr>
            <w:r>
              <w:rPr>
                <w:rFonts w:hint="default" w:ascii="Times New Roman" w:hAnsi="Times New Roman" w:cs="Times New Roman"/>
                <w:sz w:val="22"/>
                <w:szCs w:val="22"/>
                <w:lang w:val="en-US"/>
              </w:rPr>
              <w:t>17 September 2024 (</w:t>
            </w:r>
            <w:r>
              <w:rPr>
                <w:rFonts w:hint="default" w:ascii="Times New Roman" w:hAnsi="Times New Roman" w:eastAsia="SimSun" w:cs="Times New Roman"/>
                <w:sz w:val="22"/>
                <w:szCs w:val="22"/>
              </w:rPr>
              <w:t>Published online)</w:t>
            </w:r>
          </w:p>
        </w:tc>
      </w:tr>
      <w:tr w14:paraId="4D41D867">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6E30B34">
            <w:pPr>
              <w:spacing w:after="40"/>
            </w:pPr>
            <w:r>
              <w:rPr>
                <w:b/>
                <w:sz w:val="21"/>
              </w:rPr>
              <w:t>Source / Publisher</w:t>
            </w:r>
          </w:p>
        </w:tc>
        <w:tc>
          <w:tcPr>
            <w:tcW w:w="7704" w:type="dxa"/>
            <w:tcBorders>
              <w:top w:val="single" w:color="5B9BD5" w:sz="8" w:space="0"/>
              <w:left w:val="single" w:color="5B9BD5" w:sz="8" w:space="0"/>
              <w:bottom w:val="single" w:color="5B9BD5" w:sz="8" w:space="0"/>
              <w:right w:val="single" w:color="5B9BD5" w:sz="8" w:space="0"/>
            </w:tcBorders>
            <w:vAlign w:val="center"/>
          </w:tcPr>
          <w:p w14:paraId="33F8618C">
            <w:pPr>
              <w:spacing w:after="40"/>
              <w:rPr>
                <w:rFonts w:hint="default" w:ascii="Times New Roman" w:hAnsi="Times New Roman" w:cs="Times New Roman"/>
                <w:sz w:val="22"/>
                <w:szCs w:val="22"/>
              </w:rPr>
            </w:pPr>
            <w:r>
              <w:rPr>
                <w:rFonts w:hint="default" w:ascii="Times New Roman" w:hAnsi="Times New Roman" w:eastAsia="SimSun" w:cs="Times New Roman"/>
                <w:sz w:val="22"/>
                <w:szCs w:val="22"/>
              </w:rPr>
              <w:t>Tạp chí Journal of Business Economics / Nhà xuất bản Springer</w:t>
            </w:r>
          </w:p>
        </w:tc>
      </w:tr>
      <w:tr w14:paraId="7517E9B9">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5441F45D">
            <w:pPr>
              <w:spacing w:after="40"/>
            </w:pPr>
            <w:r>
              <w:rPr>
                <w:b/>
                <w:sz w:val="21"/>
              </w:rPr>
              <w:t>DOI</w:t>
            </w:r>
          </w:p>
        </w:tc>
        <w:tc>
          <w:tcPr>
            <w:tcW w:w="7704" w:type="dxa"/>
            <w:tcBorders>
              <w:top w:val="single" w:color="5B9BD5" w:sz="8" w:space="0"/>
              <w:left w:val="single" w:color="5B9BD5" w:sz="8" w:space="0"/>
              <w:bottom w:val="single" w:color="5B9BD5" w:sz="8" w:space="0"/>
              <w:right w:val="single" w:color="5B9BD5" w:sz="8" w:space="0"/>
            </w:tcBorders>
            <w:vAlign w:val="center"/>
          </w:tcPr>
          <w:p w14:paraId="48ABED73">
            <w:pPr>
              <w:spacing w:after="40"/>
              <w:rPr>
                <w:rFonts w:hint="default" w:ascii="Times New Roman" w:hAnsi="Times New Roman" w:cs="Times New Roman"/>
                <w:sz w:val="22"/>
                <w:szCs w:val="22"/>
              </w:rPr>
            </w:pPr>
            <w:r>
              <w:rPr>
                <w:rFonts w:hint="default" w:ascii="Times New Roman" w:hAnsi="Times New Roman" w:cs="Times New Roman"/>
                <w:sz w:val="22"/>
                <w:szCs w:val="22"/>
              </w:rPr>
              <w:t>10.1007/s11573-024-01204-9</w:t>
            </w:r>
          </w:p>
        </w:tc>
      </w:tr>
      <w:tr w14:paraId="2F2427BC">
        <w:tblPrEx>
          <w:tblCellMar>
            <w:top w:w="0" w:type="dxa"/>
            <w:left w:w="108" w:type="dxa"/>
            <w:bottom w:w="0" w:type="dxa"/>
            <w:right w:w="108" w:type="dxa"/>
          </w:tblCellMar>
        </w:tblPrEx>
        <w:trPr>
          <w:jc w:val="center"/>
        </w:trPr>
        <w:tc>
          <w:tcPr>
            <w:tcW w:w="2232"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11F215BC">
            <w:pPr>
              <w:spacing w:after="40"/>
            </w:pPr>
            <w:r>
              <w:rPr>
                <w:b/>
                <w:sz w:val="21"/>
              </w:rPr>
              <w:t>Keywords</w:t>
            </w:r>
          </w:p>
        </w:tc>
        <w:tc>
          <w:tcPr>
            <w:tcW w:w="7704" w:type="dxa"/>
            <w:tcBorders>
              <w:top w:val="single" w:color="5B9BD5" w:sz="8" w:space="0"/>
              <w:left w:val="single" w:color="5B9BD5" w:sz="8" w:space="0"/>
              <w:bottom w:val="single" w:color="5B9BD5" w:sz="8" w:space="0"/>
              <w:right w:val="single" w:color="5B9BD5" w:sz="8" w:space="0"/>
            </w:tcBorders>
            <w:vAlign w:val="center"/>
          </w:tcPr>
          <w:p w14:paraId="34795035">
            <w:pPr>
              <w:spacing w:after="40"/>
              <w:rPr>
                <w:rFonts w:hint="default" w:ascii="Times New Roman" w:hAnsi="Times New Roman" w:cs="Times New Roman"/>
                <w:sz w:val="22"/>
                <w:szCs w:val="22"/>
              </w:rPr>
            </w:pPr>
            <w:r>
              <w:rPr>
                <w:rFonts w:hint="default" w:ascii="Times New Roman" w:hAnsi="Times New Roman" w:eastAsia="SimSun" w:cs="Times New Roman"/>
                <w:sz w:val="22"/>
                <w:szCs w:val="22"/>
              </w:rPr>
              <w:t>Shared mobility, Car rental, Car sharing, Availability control, Pricing, Optimization</w:t>
            </w:r>
          </w:p>
        </w:tc>
      </w:tr>
      <w:tr w14:paraId="30CB8897">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shd w:val="clear" w:color="auto" w:fill="EAF2F8"/>
            <w:vAlign w:val="center"/>
          </w:tcPr>
          <w:p w14:paraId="1EA3F737">
            <w:r>
              <w:rPr>
                <w:b/>
              </w:rPr>
              <w:t>Research Objective</w:t>
            </w:r>
          </w:p>
        </w:tc>
      </w:tr>
      <w:tr w14:paraId="5A2BE543">
        <w:tblPrEx>
          <w:tblCellMar>
            <w:top w:w="0" w:type="dxa"/>
            <w:left w:w="108" w:type="dxa"/>
            <w:bottom w:w="0" w:type="dxa"/>
            <w:right w:w="108" w:type="dxa"/>
          </w:tblCellMar>
        </w:tblPrEx>
        <w:trPr>
          <w:jc w:val="center"/>
        </w:trPr>
        <w:tc>
          <w:tcPr>
            <w:tcW w:w="10368" w:type="dxa"/>
            <w:gridSpan w:val="2"/>
            <w:tcBorders>
              <w:top w:val="single" w:color="5B9BD5" w:sz="8" w:space="0"/>
              <w:left w:val="single" w:color="5B9BD5" w:sz="8" w:space="0"/>
              <w:bottom w:val="single" w:color="5B9BD5" w:sz="8" w:space="0"/>
              <w:right w:val="single" w:color="5B9BD5" w:sz="8" w:space="0"/>
            </w:tcBorders>
            <w:vAlign w:val="center"/>
          </w:tcPr>
          <w:p w14:paraId="473C1E72">
            <w:pPr>
              <w:spacing w:after="100"/>
              <w:jc w:val="both"/>
            </w:pPr>
            <w:r>
              <w:rPr>
                <w:rFonts w:hint="default" w:ascii="Times New Roman" w:hAnsi="Times New Roman" w:eastAsia="SimSun" w:cs="Times New Roman"/>
                <w:sz w:val="22"/>
                <w:szCs w:val="22"/>
              </w:rPr>
              <w:t>Đánh giá và định lượng các lợi ích cũng như hạn chế của việc kết hợp mô hình cho thuê xe (car rental) và chia sẻ xe (car sharing) thành một hệ thống di chuyển duy nhất sử dụng chung một đội xe. Mục tiêu của nghiên cứu là đưa ra các góc nhìn quản trị nhằm hỗ trợ việc ra quyết định chiến lược ở cấp cao cho các nhà cung cấp dịch vụ hiện tại trong việc xác định xem có nên mở rộng danh mục sản phẩm của họ để phục vụ thêm một thị trường mới hay không.</w:t>
            </w:r>
          </w:p>
        </w:tc>
      </w:tr>
    </w:tbl>
    <w:p w14:paraId="4A43C6A5"/>
    <w:tbl>
      <w:tblPr>
        <w:tblStyle w:val="12"/>
        <w:tblW w:w="0" w:type="auto"/>
        <w:jc w:val="center"/>
        <w:tblLayout w:type="autofit"/>
        <w:tblCellMar>
          <w:top w:w="0" w:type="dxa"/>
          <w:left w:w="108" w:type="dxa"/>
          <w:bottom w:w="0" w:type="dxa"/>
          <w:right w:w="108" w:type="dxa"/>
        </w:tblCellMar>
      </w:tblPr>
      <w:tblGrid>
        <w:gridCol w:w="10368"/>
      </w:tblGrid>
      <w:tr w14:paraId="4BAD6D88">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AF4DCD1">
            <w:r>
              <w:rPr>
                <w:b/>
              </w:rPr>
              <w:t>Main Content</w:t>
            </w:r>
          </w:p>
        </w:tc>
      </w:tr>
      <w:tr w14:paraId="7AC262E6">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186393EC">
            <w:pPr>
              <w:spacing w:after="100"/>
              <w:jc w:val="both"/>
            </w:pPr>
            <w:r>
              <w:t>Bài báo tập trung nghiên cứu, đánh giá và định lượng các lợi ích cũng như hạn chế của việc kết hợp mô hình cho thuê xe ô tô truyền thống (Car Rental - CR) và chia sẻ xe tự do (Car Sharing - CS) thành một hệ thống di chuyển tích hợp sử dụng chung một đội xe. Nhóm tác giả phân tích tác động của sự kết hợp này đến doanh thu, tỷ lệ sử dụng xe (utilization) và chất lượng dịch vụ đối với cả hai nhóm nhà cung cấp (CR và CS) khi họ quyết định thâm nhập vào thị trường của nhau</w:t>
            </w:r>
          </w:p>
        </w:tc>
      </w:tr>
    </w:tbl>
    <w:p w14:paraId="6F590665"/>
    <w:tbl>
      <w:tblPr>
        <w:tblStyle w:val="12"/>
        <w:tblW w:w="0" w:type="auto"/>
        <w:jc w:val="center"/>
        <w:tblLayout w:type="autofit"/>
        <w:tblCellMar>
          <w:top w:w="0" w:type="dxa"/>
          <w:left w:w="108" w:type="dxa"/>
          <w:bottom w:w="0" w:type="dxa"/>
          <w:right w:w="108" w:type="dxa"/>
        </w:tblCellMar>
      </w:tblPr>
      <w:tblGrid>
        <w:gridCol w:w="10368"/>
      </w:tblGrid>
      <w:tr w14:paraId="6729A95C">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BCFB5A7">
            <w:r>
              <w:rPr>
                <w:b/>
              </w:rPr>
              <w:t>Method / Technology Used</w:t>
            </w:r>
          </w:p>
        </w:tc>
      </w:tr>
      <w:tr w14:paraId="3D880ED5">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793A3DA3">
            <w:pPr>
              <w:spacing w:after="100"/>
              <w:jc w:val="both"/>
              <w:rPr>
                <w:rFonts w:hint="default"/>
              </w:rPr>
            </w:pPr>
            <w:r>
              <w:rPr>
                <w:rFonts w:hint="default"/>
                <w:b/>
                <w:bCs/>
              </w:rPr>
              <w:t>Phương pháp chính:</w:t>
            </w:r>
            <w:r>
              <w:rPr>
                <w:rFonts w:hint="default"/>
              </w:rPr>
              <w:t xml:space="preserve"> Nghiên cứu sử dụng Tối ưu hóa toán học (Mathematical Optimization) thông qua các mô hình Quy hoạch tuyến tính nguyên hỗn hợp (Mixed-integer linear programs). </w:t>
            </w:r>
          </w:p>
          <w:p w14:paraId="667E507F">
            <w:pPr>
              <w:spacing w:after="100"/>
              <w:jc w:val="both"/>
              <w:rPr>
                <w:rFonts w:hint="default"/>
              </w:rPr>
            </w:pPr>
            <w:r>
              <w:rPr>
                <w:rFonts w:hint="default"/>
                <w:b/>
                <w:bCs/>
              </w:rPr>
              <w:t>Cách thức thực hiện:</w:t>
            </w:r>
            <w:r>
              <w:rPr>
                <w:rFonts w:hint="default"/>
              </w:rPr>
              <w:t xml:space="preserve"> Nhóm tác giả xây dựng các khung tối ưu hóa mô phỏng 4 mức độ kết hợp khác nhau (từ giữ nguyên hiện trạng đến tích hợp toàn diện về định giá và kiểm soát số lượng xe), kết hợp với nghiên cứu số liệu (numerical studies). </w:t>
            </w:r>
          </w:p>
          <w:p w14:paraId="5DA8FAA0">
            <w:pPr>
              <w:spacing w:after="100"/>
              <w:jc w:val="both"/>
            </w:pPr>
            <w:r>
              <w:rPr>
                <w:rFonts w:hint="default"/>
                <w:b/>
                <w:bCs/>
              </w:rPr>
              <w:t>Dữ liệu:</w:t>
            </w:r>
            <w:r>
              <w:rPr>
                <w:rFonts w:hint="default"/>
              </w:rPr>
              <w:t xml:space="preserve"> Các mô hình này được chạy thử nghiệm dựa trên dữ liệu nhu cầu và định giá thực tế từ một nhà cung cấp CR tại Bồ Đào Nha và một nhà cung cấp CS quy mô toàn châu Âu. </w:t>
            </w:r>
          </w:p>
        </w:tc>
      </w:tr>
    </w:tbl>
    <w:p w14:paraId="6DB8BBA7"/>
    <w:tbl>
      <w:tblPr>
        <w:tblStyle w:val="12"/>
        <w:tblW w:w="0" w:type="auto"/>
        <w:jc w:val="center"/>
        <w:tblLayout w:type="autofit"/>
        <w:tblCellMar>
          <w:top w:w="0" w:type="dxa"/>
          <w:left w:w="108" w:type="dxa"/>
          <w:bottom w:w="0" w:type="dxa"/>
          <w:right w:w="108" w:type="dxa"/>
        </w:tblCellMar>
      </w:tblPr>
      <w:tblGrid>
        <w:gridCol w:w="10368"/>
      </w:tblGrid>
      <w:tr w14:paraId="49304D9F">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77BB2FB8">
            <w:r>
              <w:rPr>
                <w:b/>
              </w:rPr>
              <w:t>Key Findings</w:t>
            </w:r>
          </w:p>
        </w:tc>
      </w:tr>
      <w:tr w14:paraId="0A22441E">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1EE748CD">
            <w:pPr>
              <w:spacing w:after="100"/>
              <w:jc w:val="both"/>
              <w:rPr>
                <w:rFonts w:hint="default"/>
              </w:rPr>
            </w:pPr>
            <w:r>
              <w:rPr>
                <w:rFonts w:hint="default"/>
                <w:b/>
                <w:bCs/>
              </w:rPr>
              <w:t>Đối với nhà cung cấp CR:</w:t>
            </w:r>
            <w:r>
              <w:rPr>
                <w:rFonts w:hint="default"/>
              </w:rPr>
              <w:t xml:space="preserve"> Việc bổ sung thêm tính năng CS giúp tăng doanh thu đáng kể (từ 23% đến 120% tùy nhu cầu) do tận dụng được thời gian xe trống. Tuy nhiên, tỷ lệ sử dụng xe tổng thể chỉ tăng nhẹ và việc này có thể khiến giá thuê đối với khách hàng CR truyền thống bị đẩy lên cao hơn. </w:t>
            </w:r>
          </w:p>
          <w:p w14:paraId="6C8D404E">
            <w:pPr>
              <w:spacing w:after="100"/>
              <w:jc w:val="both"/>
              <w:rPr>
                <w:rFonts w:hint="default"/>
              </w:rPr>
            </w:pPr>
            <w:r>
              <w:rPr>
                <w:rFonts w:hint="default"/>
                <w:b/>
                <w:bCs/>
              </w:rPr>
              <w:t>Đối với nhà cung cấp CS:</w:t>
            </w:r>
            <w:r>
              <w:rPr>
                <w:rFonts w:hint="default"/>
              </w:rPr>
              <w:t xml:space="preserve"> Việc bổ sung các gói thuê dài ngày (CR) đem lại lợi ích rất lớn, làm tăng cả doanh thu (21% - 62%) và giúp tăng tỷ lệ lấp đầy xe một cách đột phá (lên mức 50% - 83%). </w:t>
            </w:r>
          </w:p>
          <w:p w14:paraId="63BCB818">
            <w:pPr>
              <w:spacing w:after="100"/>
              <w:jc w:val="both"/>
            </w:pPr>
            <w:r>
              <w:rPr>
                <w:rFonts w:hint="default"/>
              </w:rPr>
              <w:t>Việc áp dụng tích hợp cả quản lý tình trạng xe (availability control) và tối ưu hóa định giá (pricing optimization) mang lại hiệu quả kinh tế cao nhất cho hệ thống.</w:t>
            </w:r>
          </w:p>
        </w:tc>
      </w:tr>
    </w:tbl>
    <w:p w14:paraId="40F9557A"/>
    <w:tbl>
      <w:tblPr>
        <w:tblStyle w:val="12"/>
        <w:tblW w:w="0" w:type="auto"/>
        <w:jc w:val="center"/>
        <w:tblLayout w:type="autofit"/>
        <w:tblCellMar>
          <w:top w:w="0" w:type="dxa"/>
          <w:left w:w="108" w:type="dxa"/>
          <w:bottom w:w="0" w:type="dxa"/>
          <w:right w:w="108" w:type="dxa"/>
        </w:tblCellMar>
      </w:tblPr>
      <w:tblGrid>
        <w:gridCol w:w="10368"/>
      </w:tblGrid>
      <w:tr w14:paraId="00564ADE">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96B274B">
            <w:r>
              <w:rPr>
                <w:b/>
              </w:rPr>
              <w:t>Advantages</w:t>
            </w:r>
          </w:p>
        </w:tc>
      </w:tr>
      <w:tr w14:paraId="7D970CBA">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159837A1">
            <w:pPr>
              <w:spacing w:after="100"/>
              <w:jc w:val="both"/>
              <w:rPr>
                <w:rFonts w:hint="default"/>
              </w:rPr>
            </w:pPr>
            <w:r>
              <w:rPr>
                <w:rFonts w:hint="default"/>
                <w:lang w:val="en-US"/>
              </w:rPr>
              <w:t xml:space="preserve">- </w:t>
            </w:r>
            <w:r>
              <w:rPr>
                <w:rFonts w:hint="default"/>
              </w:rPr>
              <w:t xml:space="preserve">Là nghiên cứu đi tiên phong trong việc mô hình hóa toán học và phân tích chi tiết hệ thống CR và CS kết hợp (Combined CR&amp;CS systems) - một xu hướng đang nổi lên trong ngành công nghiệp ô tô. </w:t>
            </w:r>
          </w:p>
          <w:p w14:paraId="5CC8C5E4">
            <w:pPr>
              <w:spacing w:after="100"/>
              <w:jc w:val="both"/>
              <w:rPr>
                <w:rFonts w:hint="default"/>
              </w:rPr>
            </w:pPr>
            <w:r>
              <w:rPr>
                <w:rFonts w:hint="default"/>
                <w:lang w:val="en-US"/>
              </w:rPr>
              <w:t xml:space="preserve">- </w:t>
            </w:r>
            <w:r>
              <w:rPr>
                <w:rFonts w:hint="default"/>
              </w:rPr>
              <w:t xml:space="preserve">Cách tiếp cận theo từng "cấp độ tích hợp" (degrees of combination) rất thực tế, phản ánh đúng lộ trình chuyển đổi kinh doanh dần dần của các doanh nghiệp thay vì thay đổi đột ngột. </w:t>
            </w:r>
          </w:p>
          <w:p w14:paraId="5DAEA869">
            <w:pPr>
              <w:spacing w:after="100"/>
              <w:jc w:val="both"/>
            </w:pPr>
            <w:r>
              <w:rPr>
                <w:rFonts w:hint="default"/>
                <w:lang w:val="en-US"/>
              </w:rPr>
              <w:t>-</w:t>
            </w:r>
            <w:r>
              <w:rPr>
                <w:rFonts w:hint="eastAsia"/>
              </w:rPr>
              <w:t xml:space="preserve"> </w:t>
            </w:r>
            <w:r>
              <w:rPr>
                <w:rFonts w:hint="default"/>
              </w:rPr>
              <w:t>Sử dụng bộ dữ liệu kinh doanh thực tế giúp các góc nhìn quản trị (managerial insights) có tính ứng dụng rất cao.</w:t>
            </w:r>
          </w:p>
        </w:tc>
      </w:tr>
    </w:tbl>
    <w:p w14:paraId="7BBA96E3"/>
    <w:tbl>
      <w:tblPr>
        <w:tblStyle w:val="12"/>
        <w:tblW w:w="0" w:type="auto"/>
        <w:jc w:val="center"/>
        <w:tblLayout w:type="autofit"/>
        <w:tblCellMar>
          <w:top w:w="0" w:type="dxa"/>
          <w:left w:w="108" w:type="dxa"/>
          <w:bottom w:w="0" w:type="dxa"/>
          <w:right w:w="108" w:type="dxa"/>
        </w:tblCellMar>
      </w:tblPr>
      <w:tblGrid>
        <w:gridCol w:w="10368"/>
      </w:tblGrid>
      <w:tr w14:paraId="7C624EA7">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24EAF480">
            <w:r>
              <w:rPr>
                <w:b/>
              </w:rPr>
              <w:t>Limitations</w:t>
            </w:r>
          </w:p>
        </w:tc>
      </w:tr>
      <w:tr w14:paraId="3DC9432C">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45489C7E">
            <w:pPr>
              <w:spacing w:after="100"/>
              <w:jc w:val="both"/>
              <w:rPr>
                <w:rFonts w:hint="default"/>
              </w:rPr>
            </w:pPr>
            <w:r>
              <w:rPr>
                <w:rFonts w:hint="default"/>
                <w:lang w:val="en-US"/>
              </w:rPr>
              <w:t>-</w:t>
            </w:r>
            <w:r>
              <w:rPr>
                <w:rFonts w:hint="eastAsia"/>
              </w:rPr>
              <w:t xml:space="preserve"> </w:t>
            </w:r>
            <w:r>
              <w:rPr>
                <w:rFonts w:hint="default"/>
              </w:rPr>
              <w:t xml:space="preserve">Mô hình được xây dựng ở cấp độ vĩ mô chiến lược (aggregate level), do đó đã bỏ qua các yếu tố vận hành thực tế vi mô như: lộ trình của từng chiếc xe cụ thể, vị trí trạm đỗ, hay chi phí di dời xe (relocation). </w:t>
            </w:r>
          </w:p>
          <w:p w14:paraId="26BAF139">
            <w:pPr>
              <w:spacing w:after="100"/>
              <w:jc w:val="both"/>
              <w:rPr>
                <w:rFonts w:hint="default"/>
              </w:rPr>
            </w:pPr>
            <w:r>
              <w:rPr>
                <w:rFonts w:hint="default"/>
                <w:lang w:val="en-US"/>
              </w:rPr>
              <w:t>-</w:t>
            </w:r>
            <w:r>
              <w:rPr>
                <w:rFonts w:hint="eastAsia"/>
              </w:rPr>
              <w:t xml:space="preserve"> </w:t>
            </w:r>
            <w:r>
              <w:rPr>
                <w:rFonts w:hint="default"/>
              </w:rPr>
              <w:t xml:space="preserve">Mô hình tối ưu hóa giá chỉ giới hạn ở một tập hợp các mức giá rời rạc có sẵn, chưa đánh giá được cơ chế định giá động (dynamic pricing) liên tục. </w:t>
            </w:r>
          </w:p>
          <w:p w14:paraId="6164AF10">
            <w:pPr>
              <w:spacing w:after="100"/>
              <w:jc w:val="both"/>
            </w:pPr>
            <w:r>
              <w:rPr>
                <w:rFonts w:hint="default"/>
                <w:lang w:val="en-US"/>
              </w:rPr>
              <w:t>-</w:t>
            </w:r>
            <w:r>
              <w:rPr>
                <w:rFonts w:hint="eastAsia"/>
              </w:rPr>
              <w:t xml:space="preserve"> </w:t>
            </w:r>
            <w:r>
              <w:rPr>
                <w:rFonts w:hint="default"/>
              </w:rPr>
              <w:t>Nghiên cứu giả định rằng tất cả các xe trong đội xe đều giống hệt nhau (homogeneous fleet) và chưa tính đến các chi phí rào cản công nghệ khi thiết lập một nền tảng quản lý chung.</w:t>
            </w:r>
          </w:p>
        </w:tc>
      </w:tr>
    </w:tbl>
    <w:p w14:paraId="7FF47F33"/>
    <w:tbl>
      <w:tblPr>
        <w:tblStyle w:val="12"/>
        <w:tblW w:w="0" w:type="auto"/>
        <w:jc w:val="center"/>
        <w:tblLayout w:type="autofit"/>
        <w:tblCellMar>
          <w:top w:w="0" w:type="dxa"/>
          <w:left w:w="108" w:type="dxa"/>
          <w:bottom w:w="0" w:type="dxa"/>
          <w:right w:w="108" w:type="dxa"/>
        </w:tblCellMar>
      </w:tblPr>
      <w:tblGrid>
        <w:gridCol w:w="10368"/>
      </w:tblGrid>
      <w:tr w14:paraId="6CB9A6B9">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3954BDCB">
            <w:r>
              <w:rPr>
                <w:b/>
              </w:rPr>
              <w:t>Relevance to Our Project</w:t>
            </w:r>
          </w:p>
        </w:tc>
      </w:tr>
      <w:tr w14:paraId="245C13B6">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199664E1">
            <w:pPr>
              <w:spacing w:after="100"/>
              <w:jc w:val="both"/>
            </w:pPr>
            <w:r>
              <w:rPr>
                <w:rFonts w:hint="default"/>
                <w:lang w:val="en-US"/>
              </w:rPr>
              <w:t>-</w:t>
            </w:r>
            <w:r>
              <w:rPr>
                <w:rFonts w:hint="eastAsia"/>
              </w:rPr>
              <w:t xml:space="preserve"> </w:t>
            </w:r>
            <w:r>
              <w:t>Bài báo cung cấp cơ sở lý luận kinh tế để thiết kế tính năng cho dự án "Nền tảng hỗ trợ cho thuê xe ô tô tự lái". Cụ thể, hệ thống của nhóm không nên chỉ cứng nhắc cho thuê theo ngày (kiểu CR cũ) mà có thể kết hợp linh hoạt các gói thuê ngắn giờ (kiểu CS) để chủ xe tối ưu hóa thu nhập.</w:t>
            </w:r>
          </w:p>
          <w:p w14:paraId="79586D96">
            <w:pPr>
              <w:spacing w:after="100"/>
              <w:jc w:val="both"/>
            </w:pPr>
            <w:r>
              <w:rPr>
                <w:rFonts w:hint="default"/>
                <w:lang w:val="en-US"/>
              </w:rPr>
              <w:t xml:space="preserve">- </w:t>
            </w:r>
            <w:r>
              <w:t>Các khái niệm về "Kiểm soát tình trạng xe" (Availability control) và "Tối ưu hóa giá" (Pricing optimization) gợi ý cho nhóm xây dựng các Use Case quan trọng: Cho phép chủ xe (Car Owner) tự động nhận/từ chối đơn đặt xe để nhường chỗ cho các đơn dài ngày có lợi nhuận cao hơn, đồng thời hệ thống có cơ chế đề xuất thay đổi giá thuê tùy theo thời điểm cung cầu.</w:t>
            </w:r>
          </w:p>
        </w:tc>
      </w:tr>
    </w:tbl>
    <w:p w14:paraId="3F46649B"/>
    <w:tbl>
      <w:tblPr>
        <w:tblStyle w:val="12"/>
        <w:tblW w:w="0" w:type="auto"/>
        <w:jc w:val="center"/>
        <w:tblLayout w:type="autofit"/>
        <w:tblCellMar>
          <w:top w:w="0" w:type="dxa"/>
          <w:left w:w="108" w:type="dxa"/>
          <w:bottom w:w="0" w:type="dxa"/>
          <w:right w:w="108" w:type="dxa"/>
        </w:tblCellMar>
      </w:tblPr>
      <w:tblGrid>
        <w:gridCol w:w="10368"/>
      </w:tblGrid>
      <w:tr w14:paraId="0B774A18">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shd w:val="clear" w:color="auto" w:fill="EAF2F8"/>
            <w:vAlign w:val="center"/>
          </w:tcPr>
          <w:p w14:paraId="0ADE84AD">
            <w:r>
              <w:rPr>
                <w:b/>
              </w:rPr>
              <w:t>Personal Evaluation</w:t>
            </w:r>
          </w:p>
        </w:tc>
      </w:tr>
      <w:tr w14:paraId="60912F23">
        <w:tblPrEx>
          <w:tblCellMar>
            <w:top w:w="0" w:type="dxa"/>
            <w:left w:w="108" w:type="dxa"/>
            <w:bottom w:w="0" w:type="dxa"/>
            <w:right w:w="108" w:type="dxa"/>
          </w:tblCellMar>
        </w:tblPrEx>
        <w:trPr>
          <w:jc w:val="center"/>
        </w:trPr>
        <w:tc>
          <w:tcPr>
            <w:tcW w:w="10368" w:type="dxa"/>
            <w:tcBorders>
              <w:top w:val="single" w:color="5B9BD5" w:sz="8" w:space="0"/>
              <w:left w:val="single" w:color="5B9BD5" w:sz="8" w:space="0"/>
              <w:bottom w:val="single" w:color="5B9BD5" w:sz="8" w:space="0"/>
              <w:right w:val="single" w:color="5B9BD5" w:sz="8" w:space="0"/>
            </w:tcBorders>
            <w:vAlign w:val="center"/>
          </w:tcPr>
          <w:p w14:paraId="14259711">
            <w:pPr>
              <w:spacing w:after="100"/>
              <w:jc w:val="both"/>
              <w:rPr>
                <w:rFonts w:hint="default"/>
                <w:lang w:val="en-US"/>
              </w:rPr>
            </w:pPr>
            <w:r>
              <w:rPr>
                <w:rFonts w:hint="default"/>
                <w:lang w:val="en-US"/>
              </w:rPr>
              <w:t>Đây là một bài báo hay, cung cấp cái nhìn mặt thuật toán và bài toán kinh tế đăng sau các ứng dụng/website cho thuê xe. Dù bài báo tập trung vào mô hình B2C (nhà cung cấp tự sở hữu đội xe), các nguyên lý về quản trị doanh thu (revenue management) của nó hoàn toàn có thể áp dụng cho mô hình Platform (kết nối chủ xe độc lập và người thuê) mà dự án đang hướng tới. Nghiên cứu giúp nhóm nhận thức rõ rằng: một nền tảng cho thuê xe mạnh mẽ không chỉ nằm ở khâu đặt xe hay thanh toán, mà còn nằm ở thuật toán hỗ trợ chủ xe quản lý lịch trống và tối ưu hóa lợi nhuận.</w:t>
            </w:r>
          </w:p>
        </w:tc>
      </w:tr>
    </w:tbl>
    <w:p w14:paraId="2975131F"/>
    <w:tbl>
      <w:tblPr>
        <w:tblStyle w:val="12"/>
        <w:tblW w:w="0" w:type="auto"/>
        <w:jc w:val="center"/>
        <w:tblLayout w:type="autofit"/>
        <w:tblCellMar>
          <w:top w:w="0" w:type="dxa"/>
          <w:left w:w="108" w:type="dxa"/>
          <w:bottom w:w="0" w:type="dxa"/>
          <w:right w:w="108" w:type="dxa"/>
        </w:tblCellMar>
      </w:tblPr>
      <w:tblGrid>
        <w:gridCol w:w="4734"/>
        <w:gridCol w:w="5994"/>
      </w:tblGrid>
      <w:tr w14:paraId="0321A635">
        <w:tblPrEx>
          <w:tblCellMar>
            <w:top w:w="0" w:type="dxa"/>
            <w:left w:w="108" w:type="dxa"/>
            <w:bottom w:w="0" w:type="dxa"/>
            <w:right w:w="108" w:type="dxa"/>
          </w:tblCellMar>
        </w:tblPrEx>
        <w:trPr>
          <w:jc w:val="center"/>
        </w:trPr>
        <w:tc>
          <w:tcPr>
            <w:tcW w:w="473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5DB30BB2">
            <w:r>
              <w:rPr>
                <w:b/>
                <w:color w:val="FFFFFF"/>
                <w:sz w:val="21"/>
              </w:rPr>
              <w:t>Gợi ý áp dụng vào dự án</w:t>
            </w:r>
          </w:p>
        </w:tc>
        <w:tc>
          <w:tcPr>
            <w:tcW w:w="5994"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009A0454">
            <w:r>
              <w:rPr>
                <w:b/>
                <w:color w:val="FFFFFF"/>
                <w:sz w:val="21"/>
              </w:rPr>
              <w:t>Ý nghĩa</w:t>
            </w:r>
          </w:p>
        </w:tc>
      </w:tr>
      <w:tr w14:paraId="5C36666E">
        <w:tblPrEx>
          <w:tblCellMar>
            <w:top w:w="0" w:type="dxa"/>
            <w:left w:w="108" w:type="dxa"/>
            <w:bottom w:w="0" w:type="dxa"/>
            <w:right w:w="108" w:type="dxa"/>
          </w:tblCellMar>
        </w:tblPrEx>
        <w:trPr>
          <w:jc w:val="center"/>
        </w:trPr>
        <w:tc>
          <w:tcPr>
            <w:tcW w:w="4734" w:type="dxa"/>
          </w:tcPr>
          <w:p w14:paraId="518C32EE">
            <w:r>
              <w:t>Công cụ kiểm soát lịch xe (Availability Control).</w:t>
            </w:r>
          </w:p>
        </w:tc>
        <w:tc>
          <w:tcPr>
            <w:tcW w:w="5994" w:type="dxa"/>
          </w:tcPr>
          <w:p w14:paraId="3B4C839A">
            <w:r>
              <w:t>Cho phép chủ xe ưu tiên các đơn thuê dài ngày có lợi nhuận cao, tránh bị kẹt lịch bởi các đơn ngắn hạn lẻ tẻ.</w:t>
            </w:r>
          </w:p>
        </w:tc>
      </w:tr>
      <w:tr w14:paraId="0425BB36">
        <w:tblPrEx>
          <w:tblCellMar>
            <w:top w:w="0" w:type="dxa"/>
            <w:left w:w="108" w:type="dxa"/>
            <w:bottom w:w="0" w:type="dxa"/>
            <w:right w:w="108" w:type="dxa"/>
          </w:tblCellMar>
        </w:tblPrEx>
        <w:trPr>
          <w:jc w:val="center"/>
        </w:trPr>
        <w:tc>
          <w:tcPr>
            <w:tcW w:w="4734" w:type="dxa"/>
          </w:tcPr>
          <w:p w14:paraId="1C84F2FD">
            <w:r>
              <w:t>Tích hợp cơ chế định giá động (Pricing Optimization).</w:t>
            </w:r>
          </w:p>
        </w:tc>
        <w:tc>
          <w:tcPr>
            <w:tcW w:w="5994" w:type="dxa"/>
          </w:tcPr>
          <w:p w14:paraId="458E8401">
            <w:r>
              <w:t>Tối đa hóa doanh thu cho chủ xe bằng cách điều chỉnh giá thuê linh hoạt theo nhu cầu thực tế và thời điểm (Lễ, Tết).</w:t>
            </w:r>
          </w:p>
        </w:tc>
      </w:tr>
      <w:tr w14:paraId="2EE4D3D9">
        <w:tblPrEx>
          <w:tblCellMar>
            <w:top w:w="0" w:type="dxa"/>
            <w:left w:w="108" w:type="dxa"/>
            <w:bottom w:w="0" w:type="dxa"/>
            <w:right w:w="108" w:type="dxa"/>
          </w:tblCellMar>
        </w:tblPrEx>
        <w:trPr>
          <w:jc w:val="center"/>
        </w:trPr>
        <w:tc>
          <w:tcPr>
            <w:tcW w:w="4734" w:type="dxa"/>
          </w:tcPr>
          <w:p w14:paraId="1C1D49BC">
            <w:r>
              <w:t>Bổ sung gói thuê xe theo giờ (Car-sharing) bên cạnh thuê theo ngày truyền thống.</w:t>
            </w:r>
          </w:p>
        </w:tc>
        <w:tc>
          <w:tcPr>
            <w:tcW w:w="5994" w:type="dxa"/>
          </w:tcPr>
          <w:p w14:paraId="15125A32">
            <w:r>
              <w:t>Tận dụng tối đa thời gian xe nhàn rỗi, tăng tỷ lệ lấp đầy (utilization) và mở rộng tệp khách hàng.</w:t>
            </w:r>
          </w:p>
        </w:tc>
      </w:tr>
    </w:tbl>
    <w:p w14:paraId="6BE82982"/>
    <w:p w14:paraId="3C46C4F9">
      <w:r>
        <w:br w:type="page"/>
      </w:r>
    </w:p>
    <w:tbl>
      <w:tblPr>
        <w:tblStyle w:val="12"/>
        <w:tblW w:w="0" w:type="auto"/>
        <w:jc w:val="center"/>
        <w:tblLayout w:type="autofit"/>
        <w:tblCellMar>
          <w:top w:w="0" w:type="dxa"/>
          <w:left w:w="108" w:type="dxa"/>
          <w:bottom w:w="0" w:type="dxa"/>
          <w:right w:w="108" w:type="dxa"/>
        </w:tblCellMar>
      </w:tblPr>
      <w:tblGrid>
        <w:gridCol w:w="2131"/>
        <w:gridCol w:w="4061"/>
        <w:gridCol w:w="4536"/>
      </w:tblGrid>
      <w:tr w14:paraId="3984414E">
        <w:tblPrEx>
          <w:tblCellMar>
            <w:top w:w="0" w:type="dxa"/>
            <w:left w:w="108" w:type="dxa"/>
            <w:bottom w:w="0" w:type="dxa"/>
            <w:right w:w="108" w:type="dxa"/>
          </w:tblCellMar>
        </w:tblPrEx>
        <w:trPr>
          <w:jc w:val="center"/>
        </w:trPr>
        <w:tc>
          <w:tcPr>
            <w:tcW w:w="10728" w:type="dxa"/>
            <w:gridSpan w:val="3"/>
            <w:tcBorders>
              <w:top w:val="single" w:color="1F4E79" w:sz="12" w:space="0"/>
              <w:left w:val="single" w:color="1F4E79" w:sz="12" w:space="0"/>
              <w:bottom w:val="single" w:color="1F4E79" w:sz="12" w:space="0"/>
              <w:right w:val="single" w:color="1F4E79" w:sz="12" w:space="0"/>
            </w:tcBorders>
            <w:shd w:val="clear" w:color="auto" w:fill="D9EAF7"/>
            <w:vAlign w:val="center"/>
          </w:tcPr>
          <w:p w14:paraId="01FF4845">
            <w:r>
              <w:rPr>
                <w:b/>
                <w:color w:val="1F4E79"/>
                <w:sz w:val="28"/>
              </w:rPr>
              <w:t>4. BẢNG SO SÁNH 2 PAPER</w:t>
            </w:r>
          </w:p>
        </w:tc>
      </w:tr>
      <w:tr w14:paraId="3CAE374E">
        <w:tblPrEx>
          <w:tblCellMar>
            <w:top w:w="0" w:type="dxa"/>
            <w:left w:w="108" w:type="dxa"/>
            <w:bottom w:w="0" w:type="dxa"/>
            <w:right w:w="108" w:type="dxa"/>
          </w:tblCellMar>
        </w:tblPrEx>
        <w:trPr>
          <w:jc w:val="center"/>
        </w:trPr>
        <w:tc>
          <w:tcPr>
            <w:tcW w:w="2290"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21CA16B2">
            <w:r>
              <w:rPr>
                <w:b/>
                <w:color w:val="FFFFFF"/>
                <w:sz w:val="20"/>
              </w:rPr>
              <w:t>Tiêu chí</w:t>
            </w:r>
          </w:p>
        </w:tc>
        <w:tc>
          <w:tcPr>
            <w:tcW w:w="4541"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60D56E79">
            <w:r>
              <w:rPr>
                <w:rFonts w:hint="default" w:eastAsia="SimSun" w:cs="Times New Roman"/>
                <w:b/>
                <w:bCs/>
                <w:color w:val="FFFFFF" w:themeColor="background1"/>
                <w:sz w:val="22"/>
                <w:szCs w:val="22"/>
                <w:lang w:val="en-US"/>
                <w14:textFill>
                  <w14:solidFill>
                    <w14:schemeClr w14:val="bg1"/>
                  </w14:solidFill>
                </w14:textFill>
              </w:rPr>
              <w:t>P</w:t>
            </w:r>
            <w:r>
              <w:rPr>
                <w:rFonts w:hint="default" w:ascii="Times New Roman" w:hAnsi="Times New Roman" w:eastAsia="SimSun" w:cs="Times New Roman"/>
                <w:b/>
                <w:bCs/>
                <w:color w:val="FFFFFF" w:themeColor="background1"/>
                <w:sz w:val="22"/>
                <w:szCs w:val="22"/>
                <w14:textFill>
                  <w14:solidFill>
                    <w14:schemeClr w14:val="bg1"/>
                  </w14:solidFill>
                </w14:textFill>
              </w:rPr>
              <w:t>aper 1: On the benefit of combining car rental and car sharing</w:t>
            </w:r>
          </w:p>
        </w:tc>
        <w:tc>
          <w:tcPr>
            <w:tcW w:w="3897"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76FC008E">
            <w:r>
              <w:rPr>
                <w:rFonts w:hint="default"/>
                <w:b/>
                <w:bCs/>
                <w:color w:val="FFFFFF" w:themeColor="background1"/>
                <w14:textFill>
                  <w14:solidFill>
                    <w14:schemeClr w14:val="bg1"/>
                  </w14:solidFill>
                </w14:textFill>
              </w:rPr>
              <w:t>Paper 2: Vehicle Location and Status Tracking System using GPS, GSM/GPRS, and OBD technologies</w:t>
            </w:r>
            <w:r>
              <w:rPr>
                <w:rFonts w:hint="default"/>
                <w:color w:val="FFFFFF" w:themeColor="background1"/>
                <w14:textFill>
                  <w14:solidFill>
                    <w14:schemeClr w14:val="bg1"/>
                  </w14:solidFill>
                </w14:textFill>
              </w:rPr>
              <w:t>.</w:t>
            </w:r>
          </w:p>
        </w:tc>
      </w:tr>
      <w:tr w14:paraId="68D282A3">
        <w:tblPrEx>
          <w:tblCellMar>
            <w:top w:w="0" w:type="dxa"/>
            <w:left w:w="108" w:type="dxa"/>
            <w:bottom w:w="0" w:type="dxa"/>
            <w:right w:w="108" w:type="dxa"/>
          </w:tblCellMar>
        </w:tblPrEx>
        <w:trPr>
          <w:jc w:val="center"/>
        </w:trPr>
        <w:tc>
          <w:tcPr>
            <w:tcW w:w="2290" w:type="dxa"/>
          </w:tcPr>
          <w:p w14:paraId="028C7E96">
            <w:pPr>
              <w:jc w:val="both"/>
              <w:rPr>
                <w:sz w:val="22"/>
                <w:szCs w:val="22"/>
              </w:rPr>
            </w:pPr>
            <w:r>
              <w:rPr>
                <w:sz w:val="22"/>
                <w:szCs w:val="22"/>
              </w:rPr>
              <w:t>Trọng tâm nghiên cứu</w:t>
            </w:r>
          </w:p>
        </w:tc>
        <w:tc>
          <w:tcPr>
            <w:tcW w:w="4541" w:type="dxa"/>
          </w:tcPr>
          <w:p w14:paraId="62E0EC66">
            <w:pPr>
              <w:jc w:val="both"/>
              <w:rPr>
                <w:sz w:val="22"/>
                <w:szCs w:val="22"/>
              </w:rPr>
            </w:pPr>
            <w:r>
              <w:rPr>
                <w:sz w:val="22"/>
                <w:szCs w:val="22"/>
              </w:rPr>
              <w:t>Phân tích lợi ích kinh tế (doanh thu, tỷ lệ sử dụng) của việc kết hợp mô hình thuê xe theo ngày truyền thống (CR) và chia sẻ xe ngắn hạn (CS).</w:t>
            </w:r>
          </w:p>
        </w:tc>
        <w:tc>
          <w:tcPr>
            <w:tcW w:w="3897" w:type="dxa"/>
          </w:tcPr>
          <w:p w14:paraId="69D9EFD4">
            <w:pPr>
              <w:jc w:val="both"/>
              <w:rPr>
                <w:sz w:val="22"/>
                <w:szCs w:val="22"/>
              </w:rPr>
            </w:pPr>
            <w:r>
              <w:rPr>
                <w:sz w:val="22"/>
                <w:szCs w:val="22"/>
              </w:rPr>
              <w:t>Thiết kế hệ thống IoT giám sát vị trí (GPS) và trạng thái xe (OBD) theo thời gian thực truyền qua mạng viễn thông (GSM/GPRS).</w:t>
            </w:r>
          </w:p>
        </w:tc>
      </w:tr>
      <w:tr w14:paraId="5D91B204">
        <w:tblPrEx>
          <w:tblCellMar>
            <w:top w:w="0" w:type="dxa"/>
            <w:left w:w="108" w:type="dxa"/>
            <w:bottom w:w="0" w:type="dxa"/>
            <w:right w:w="108" w:type="dxa"/>
          </w:tblCellMar>
        </w:tblPrEx>
        <w:trPr>
          <w:jc w:val="center"/>
        </w:trPr>
        <w:tc>
          <w:tcPr>
            <w:tcW w:w="2290" w:type="dxa"/>
          </w:tcPr>
          <w:p w14:paraId="6EEA9342">
            <w:pPr>
              <w:jc w:val="both"/>
              <w:rPr>
                <w:sz w:val="22"/>
                <w:szCs w:val="22"/>
              </w:rPr>
            </w:pPr>
            <w:r>
              <w:rPr>
                <w:sz w:val="22"/>
                <w:szCs w:val="22"/>
              </w:rPr>
              <w:t>Liên quan đến dự án</w:t>
            </w:r>
          </w:p>
        </w:tc>
        <w:tc>
          <w:tcPr>
            <w:tcW w:w="4541" w:type="dxa"/>
          </w:tcPr>
          <w:p w14:paraId="38204855">
            <w:pPr>
              <w:jc w:val="both"/>
              <w:rPr>
                <w:sz w:val="22"/>
                <w:szCs w:val="22"/>
              </w:rPr>
            </w:pPr>
            <w:r>
              <w:rPr>
                <w:sz w:val="22"/>
                <w:szCs w:val="22"/>
              </w:rPr>
              <w:t>Cung cấp cơ sở lý luận về mô hình kinh doanh kết hợp (platform) để tối ưu hóa thời gian rảnh của phương tiện.</w:t>
            </w:r>
          </w:p>
        </w:tc>
        <w:tc>
          <w:tcPr>
            <w:tcW w:w="3897" w:type="dxa"/>
          </w:tcPr>
          <w:p w14:paraId="4983BA5F">
            <w:pPr>
              <w:jc w:val="both"/>
              <w:rPr>
                <w:sz w:val="22"/>
                <w:szCs w:val="22"/>
              </w:rPr>
            </w:pPr>
            <w:r>
              <w:rPr>
                <w:sz w:val="22"/>
                <w:szCs w:val="22"/>
              </w:rPr>
              <w:t>Cung cấp giải pháp kỹ thuật cốt lõi cho tính năng quản lý, giám sát tài sản và kiểm tra tình trạng xe lúc bàn giao.</w:t>
            </w:r>
          </w:p>
        </w:tc>
      </w:tr>
      <w:tr w14:paraId="1E477CC7">
        <w:tblPrEx>
          <w:tblCellMar>
            <w:top w:w="0" w:type="dxa"/>
            <w:left w:w="108" w:type="dxa"/>
            <w:bottom w:w="0" w:type="dxa"/>
            <w:right w:w="108" w:type="dxa"/>
          </w:tblCellMar>
        </w:tblPrEx>
        <w:trPr>
          <w:jc w:val="center"/>
        </w:trPr>
        <w:tc>
          <w:tcPr>
            <w:tcW w:w="2290" w:type="dxa"/>
          </w:tcPr>
          <w:p w14:paraId="396725AF">
            <w:pPr>
              <w:jc w:val="left"/>
              <w:rPr>
                <w:sz w:val="22"/>
                <w:szCs w:val="22"/>
              </w:rPr>
            </w:pPr>
            <w:r>
              <w:rPr>
                <w:sz w:val="22"/>
                <w:szCs w:val="22"/>
              </w:rPr>
              <w:t>Loại</w:t>
            </w:r>
            <w:r>
              <w:rPr>
                <w:rFonts w:hint="default"/>
                <w:sz w:val="22"/>
                <w:szCs w:val="22"/>
                <w:lang w:val="en-US"/>
              </w:rPr>
              <w:t xml:space="preserve"> </w:t>
            </w:r>
            <w:r>
              <w:rPr>
                <w:sz w:val="22"/>
                <w:szCs w:val="22"/>
              </w:rPr>
              <w:t>dữ liệu/phương</w:t>
            </w:r>
            <w:r>
              <w:rPr>
                <w:rFonts w:hint="default"/>
                <w:sz w:val="22"/>
                <w:szCs w:val="22"/>
                <w:lang w:val="en-US"/>
              </w:rPr>
              <w:t xml:space="preserve"> </w:t>
            </w:r>
            <w:r>
              <w:rPr>
                <w:sz w:val="22"/>
                <w:szCs w:val="22"/>
              </w:rPr>
              <w:t>pháp</w:t>
            </w:r>
          </w:p>
        </w:tc>
        <w:tc>
          <w:tcPr>
            <w:tcW w:w="4541" w:type="dxa"/>
          </w:tcPr>
          <w:p w14:paraId="451D896F">
            <w:pPr>
              <w:pStyle w:val="34"/>
              <w:keepNext w:val="0"/>
              <w:keepLines w:val="0"/>
              <w:widowControl/>
              <w:suppressLineNumbers w:val="0"/>
              <w:ind w:left="0" w:leftChars="0" w:right="0" w:rightChars="0"/>
              <w:jc w:val="both"/>
              <w:rPr>
                <w:sz w:val="22"/>
                <w:szCs w:val="22"/>
              </w:rPr>
            </w:pPr>
            <w:r>
              <w:rPr>
                <w:sz w:val="22"/>
                <w:szCs w:val="22"/>
              </w:rPr>
              <w:t>Sử dụng Tối ưu hóa toán học (Mathematical Optimization), chạy thử nghiệm mô phỏng trên tập dữ liệu nhu cầu thực tế.</w:t>
            </w:r>
          </w:p>
        </w:tc>
        <w:tc>
          <w:tcPr>
            <w:tcW w:w="3897" w:type="dxa"/>
          </w:tcPr>
          <w:p w14:paraId="192E3F84">
            <w:pPr>
              <w:pStyle w:val="34"/>
              <w:keepNext w:val="0"/>
              <w:keepLines w:val="0"/>
              <w:widowControl/>
              <w:suppressLineNumbers w:val="0"/>
              <w:ind w:left="0" w:leftChars="0" w:right="0" w:rightChars="0"/>
              <w:jc w:val="both"/>
              <w:rPr>
                <w:sz w:val="22"/>
                <w:szCs w:val="22"/>
              </w:rPr>
            </w:pPr>
            <w:r>
              <w:rPr>
                <w:sz w:val="22"/>
                <w:szCs w:val="22"/>
              </w:rPr>
              <w:t>Sử dụng Tối ưu hóa toán học (Mathematical Optimization), chạy thử nghiệm mô phỏng trên tập dữ liệu nhu cầu thực tế.</w:t>
            </w:r>
          </w:p>
        </w:tc>
      </w:tr>
      <w:tr w14:paraId="60CB60F2">
        <w:tblPrEx>
          <w:tblCellMar>
            <w:top w:w="0" w:type="dxa"/>
            <w:left w:w="108" w:type="dxa"/>
            <w:bottom w:w="0" w:type="dxa"/>
            <w:right w:w="108" w:type="dxa"/>
          </w:tblCellMar>
        </w:tblPrEx>
        <w:trPr>
          <w:jc w:val="center"/>
        </w:trPr>
        <w:tc>
          <w:tcPr>
            <w:tcW w:w="2290" w:type="dxa"/>
          </w:tcPr>
          <w:p w14:paraId="378A9F42">
            <w:pPr>
              <w:jc w:val="both"/>
              <w:rPr>
                <w:sz w:val="22"/>
                <w:szCs w:val="22"/>
              </w:rPr>
            </w:pPr>
            <w:r>
              <w:rPr>
                <w:sz w:val="22"/>
                <w:szCs w:val="22"/>
              </w:rPr>
              <w:t>Giá trị cho SRS</w:t>
            </w:r>
          </w:p>
        </w:tc>
        <w:tc>
          <w:tcPr>
            <w:tcW w:w="4541" w:type="dxa"/>
          </w:tcPr>
          <w:p w14:paraId="5C0C6CF5">
            <w:pPr>
              <w:jc w:val="both"/>
              <w:rPr>
                <w:sz w:val="22"/>
                <w:szCs w:val="22"/>
              </w:rPr>
            </w:pPr>
            <w:r>
              <w:rPr>
                <w:sz w:val="22"/>
                <w:szCs w:val="22"/>
              </w:rPr>
              <w:t>Định hình các quy tắc kinh doanh (Business rules) về định giá động và công cụ ưu tiên lịch đặt xe.</w:t>
            </w:r>
          </w:p>
        </w:tc>
        <w:tc>
          <w:tcPr>
            <w:tcW w:w="3897" w:type="dxa"/>
          </w:tcPr>
          <w:p w14:paraId="63BCE5DE">
            <w:pPr>
              <w:jc w:val="both"/>
              <w:rPr>
                <w:sz w:val="22"/>
                <w:szCs w:val="22"/>
              </w:rPr>
            </w:pPr>
            <w:r>
              <w:rPr>
                <w:sz w:val="22"/>
                <w:szCs w:val="22"/>
              </w:rPr>
              <w:t>Định hình các yêu cầu hệ thống (System requirements) về kết nối phần cứng/phần mềm và cách lưu trữ dữ liệu xe.</w:t>
            </w:r>
          </w:p>
        </w:tc>
      </w:tr>
      <w:tr w14:paraId="61D54377">
        <w:tblPrEx>
          <w:tblCellMar>
            <w:top w:w="0" w:type="dxa"/>
            <w:left w:w="108" w:type="dxa"/>
            <w:bottom w:w="0" w:type="dxa"/>
            <w:right w:w="108" w:type="dxa"/>
          </w:tblCellMar>
        </w:tblPrEx>
        <w:trPr>
          <w:jc w:val="center"/>
        </w:trPr>
        <w:tc>
          <w:tcPr>
            <w:tcW w:w="2290" w:type="dxa"/>
          </w:tcPr>
          <w:p w14:paraId="755301F2">
            <w:pPr>
              <w:jc w:val="both"/>
              <w:rPr>
                <w:sz w:val="22"/>
                <w:szCs w:val="22"/>
              </w:rPr>
            </w:pPr>
            <w:r>
              <w:rPr>
                <w:sz w:val="22"/>
                <w:szCs w:val="22"/>
              </w:rPr>
              <w:t>Hạn chế khi áp dụng</w:t>
            </w:r>
          </w:p>
        </w:tc>
        <w:tc>
          <w:tcPr>
            <w:tcW w:w="4541" w:type="dxa"/>
          </w:tcPr>
          <w:p w14:paraId="0C7E9F8C">
            <w:pPr>
              <w:jc w:val="both"/>
              <w:rPr>
                <w:sz w:val="22"/>
                <w:szCs w:val="22"/>
              </w:rPr>
            </w:pPr>
            <w:r>
              <w:rPr>
                <w:sz w:val="22"/>
                <w:szCs w:val="22"/>
              </w:rPr>
              <w:t>Mô hình tập trung vào nhà cung cấp sở hữu đội xe lớn, cần tùy biến lại quy trình khi áp dụng cho nền tảng C2C (nhiều chủ xe cá nhân).</w:t>
            </w:r>
          </w:p>
        </w:tc>
        <w:tc>
          <w:tcPr>
            <w:tcW w:w="3897" w:type="dxa"/>
          </w:tcPr>
          <w:p w14:paraId="70BB706F">
            <w:pPr>
              <w:jc w:val="both"/>
              <w:rPr>
                <w:sz w:val="22"/>
                <w:szCs w:val="22"/>
              </w:rPr>
            </w:pPr>
            <w:r>
              <w:rPr>
                <w:sz w:val="22"/>
                <w:szCs w:val="22"/>
              </w:rPr>
              <w:t>Hệ thống bị phụ thuộc vào vùng phủ sóng mạng di động (GSM) và tín hiệu vệ tinh; phát sinh thêm chi phí gắn thiết bị ban đầu cho chủ xe.</w:t>
            </w:r>
          </w:p>
        </w:tc>
      </w:tr>
      <w:tr w14:paraId="44B59F97">
        <w:tblPrEx>
          <w:tblCellMar>
            <w:top w:w="0" w:type="dxa"/>
            <w:left w:w="108" w:type="dxa"/>
            <w:bottom w:w="0" w:type="dxa"/>
            <w:right w:w="108" w:type="dxa"/>
          </w:tblCellMar>
        </w:tblPrEx>
        <w:trPr>
          <w:jc w:val="center"/>
        </w:trPr>
        <w:tc>
          <w:tcPr>
            <w:tcW w:w="10728" w:type="dxa"/>
            <w:gridSpan w:val="3"/>
            <w:tcBorders>
              <w:top w:val="single" w:color="1F4E79" w:sz="12" w:space="0"/>
              <w:left w:val="single" w:color="1F4E79" w:sz="12" w:space="0"/>
              <w:bottom w:val="single" w:color="1F4E79" w:sz="12" w:space="0"/>
              <w:right w:val="single" w:color="1F4E79" w:sz="12" w:space="0"/>
            </w:tcBorders>
            <w:shd w:val="clear" w:color="auto" w:fill="D9EAF7"/>
            <w:vAlign w:val="center"/>
          </w:tcPr>
          <w:p w14:paraId="4D8A10DC">
            <w:r>
              <w:rPr>
                <w:b/>
                <w:color w:val="1F4E79"/>
                <w:sz w:val="28"/>
              </w:rPr>
              <w:t>5. ỨNG DỤNG PAPER VÀO SRS CỦA DỰ ÁN</w:t>
            </w:r>
          </w:p>
        </w:tc>
      </w:tr>
      <w:tr w14:paraId="6E5A6E32">
        <w:tblPrEx>
          <w:tblCellMar>
            <w:top w:w="0" w:type="dxa"/>
            <w:left w:w="108" w:type="dxa"/>
            <w:bottom w:w="0" w:type="dxa"/>
            <w:right w:w="108" w:type="dxa"/>
          </w:tblCellMar>
        </w:tblPrEx>
        <w:trPr>
          <w:jc w:val="center"/>
        </w:trPr>
        <w:tc>
          <w:tcPr>
            <w:tcW w:w="2290"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06B82B44">
            <w:r>
              <w:rPr>
                <w:b/>
                <w:color w:val="FFFFFF"/>
                <w:sz w:val="20"/>
              </w:rPr>
              <w:t>Mục trong SRS</w:t>
            </w:r>
          </w:p>
        </w:tc>
        <w:tc>
          <w:tcPr>
            <w:tcW w:w="4541"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62608726">
            <w:r>
              <w:rPr>
                <w:b/>
                <w:color w:val="FFFFFF"/>
                <w:sz w:val="20"/>
              </w:rPr>
              <w:t>Nội dung có thể viết từ Paper 1</w:t>
            </w:r>
          </w:p>
        </w:tc>
        <w:tc>
          <w:tcPr>
            <w:tcW w:w="3897"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2C2DA688">
            <w:r>
              <w:rPr>
                <w:b/>
                <w:color w:val="FFFFFF"/>
                <w:sz w:val="20"/>
              </w:rPr>
              <w:t>Nội dung có thể viết từ Paper 2</w:t>
            </w:r>
          </w:p>
        </w:tc>
      </w:tr>
      <w:tr w14:paraId="6A4D69D0">
        <w:tblPrEx>
          <w:tblCellMar>
            <w:top w:w="0" w:type="dxa"/>
            <w:left w:w="108" w:type="dxa"/>
            <w:bottom w:w="0" w:type="dxa"/>
            <w:right w:w="108" w:type="dxa"/>
          </w:tblCellMar>
        </w:tblPrEx>
        <w:trPr>
          <w:jc w:val="center"/>
        </w:trPr>
        <w:tc>
          <w:tcPr>
            <w:tcW w:w="2290" w:type="dxa"/>
          </w:tcPr>
          <w:p w14:paraId="1E42563F">
            <w:pPr>
              <w:jc w:val="both"/>
            </w:pPr>
            <w:r>
              <w:rPr>
                <w:sz w:val="19"/>
              </w:rPr>
              <w:t>Introduction</w:t>
            </w:r>
          </w:p>
        </w:tc>
        <w:tc>
          <w:tcPr>
            <w:tcW w:w="4541" w:type="dxa"/>
          </w:tcPr>
          <w:p w14:paraId="71F37FE2">
            <w:pPr>
              <w:jc w:val="both"/>
            </w:pPr>
            <w:r>
              <w:t>Nêu bật xu hướng thị trường về việc kết hợp thuê xe dài ngày và ngắn hạn nhằm tối ưu hóa lợi nhuận và giảm lãng phí tài sản nhàn rỗi.</w:t>
            </w:r>
          </w:p>
        </w:tc>
        <w:tc>
          <w:tcPr>
            <w:tcW w:w="3897" w:type="dxa"/>
          </w:tcPr>
          <w:p w14:paraId="257DE881">
            <w:pPr>
              <w:jc w:val="both"/>
            </w:pPr>
            <w:r>
              <w:t>Nhấn mạnh sự cần thiết của việc áp dụng công nghệ IoT vào ngành dịch vụ cho thuê để tăng cường bảo vệ tài sản và minh bạch thông tin.</w:t>
            </w:r>
          </w:p>
        </w:tc>
      </w:tr>
      <w:tr w14:paraId="30C3F02F">
        <w:tblPrEx>
          <w:tblCellMar>
            <w:top w:w="0" w:type="dxa"/>
            <w:left w:w="108" w:type="dxa"/>
            <w:bottom w:w="0" w:type="dxa"/>
            <w:right w:w="108" w:type="dxa"/>
          </w:tblCellMar>
        </w:tblPrEx>
        <w:trPr>
          <w:jc w:val="center"/>
        </w:trPr>
        <w:tc>
          <w:tcPr>
            <w:tcW w:w="2290" w:type="dxa"/>
          </w:tcPr>
          <w:p w14:paraId="36E13F4F">
            <w:pPr>
              <w:jc w:val="both"/>
            </w:pPr>
            <w:r>
              <w:rPr>
                <w:sz w:val="19"/>
              </w:rPr>
              <w:t>Scope</w:t>
            </w:r>
          </w:p>
        </w:tc>
        <w:tc>
          <w:tcPr>
            <w:tcW w:w="4541" w:type="dxa"/>
          </w:tcPr>
          <w:p w14:paraId="7A467F01">
            <w:pPr>
              <w:jc w:val="both"/>
            </w:pPr>
            <w:r>
              <w:t>Định hình nền tảng không chỉ là nơi đặt xe đơn thuần, mà còn là công cụ điều phối, quản lý giá và lịch trống linh hoạt cho chủ xe.</w:t>
            </w:r>
          </w:p>
        </w:tc>
        <w:tc>
          <w:tcPr>
            <w:tcW w:w="3897" w:type="dxa"/>
          </w:tcPr>
          <w:p w14:paraId="7D834A3D">
            <w:pPr>
              <w:jc w:val="both"/>
            </w:pPr>
            <w:r>
              <w:t>Mở rộng phạm vi quản lý xe bằng cách thu thập dữ liệu tự động từ các thiết bị ngoại vi (OBD, GPS) gắn trên xe thay vì chỉ nhập liệu thủ công.</w:t>
            </w:r>
          </w:p>
        </w:tc>
      </w:tr>
      <w:tr w14:paraId="5A60369A">
        <w:tblPrEx>
          <w:tblCellMar>
            <w:top w:w="0" w:type="dxa"/>
            <w:left w:w="108" w:type="dxa"/>
            <w:bottom w:w="0" w:type="dxa"/>
            <w:right w:w="108" w:type="dxa"/>
          </w:tblCellMar>
        </w:tblPrEx>
        <w:trPr>
          <w:jc w:val="center"/>
        </w:trPr>
        <w:tc>
          <w:tcPr>
            <w:tcW w:w="2290" w:type="dxa"/>
          </w:tcPr>
          <w:p w14:paraId="67E215CF">
            <w:pPr>
              <w:jc w:val="both"/>
            </w:pPr>
            <w:r>
              <w:rPr>
                <w:sz w:val="19"/>
              </w:rPr>
              <w:t>Existing Systems</w:t>
            </w:r>
          </w:p>
        </w:tc>
        <w:tc>
          <w:tcPr>
            <w:tcW w:w="4541" w:type="dxa"/>
          </w:tcPr>
          <w:p w14:paraId="676BA520">
            <w:pPr>
              <w:jc w:val="both"/>
            </w:pPr>
            <w:r>
              <w:t>Đánh giá điểm yếu của các hệ thống cũ: kém linh hoạt trong các gói thời gian thuê, bỏ phí các khoảng trống lịch giữa các lần cho thuê</w:t>
            </w:r>
          </w:p>
        </w:tc>
        <w:tc>
          <w:tcPr>
            <w:tcW w:w="3897" w:type="dxa"/>
          </w:tcPr>
          <w:p w14:paraId="27AAB14A">
            <w:pPr>
              <w:jc w:val="both"/>
            </w:pPr>
            <w:r>
              <w:t>Đánh giá điểm yếu của các hệ thống chống trộm cũ: chỉ định vị được vị trí cơ bản, thiếu tính năng đọc tình trạng động cơ, nhiên liệu thực tế.</w:t>
            </w:r>
          </w:p>
        </w:tc>
      </w:tr>
      <w:tr w14:paraId="17AC35AE">
        <w:tblPrEx>
          <w:tblCellMar>
            <w:top w:w="0" w:type="dxa"/>
            <w:left w:w="108" w:type="dxa"/>
            <w:bottom w:w="0" w:type="dxa"/>
            <w:right w:w="108" w:type="dxa"/>
          </w:tblCellMar>
        </w:tblPrEx>
        <w:trPr>
          <w:jc w:val="center"/>
        </w:trPr>
        <w:tc>
          <w:tcPr>
            <w:tcW w:w="2290" w:type="dxa"/>
          </w:tcPr>
          <w:p w14:paraId="381BA02A">
            <w:pPr>
              <w:jc w:val="both"/>
            </w:pPr>
            <w:r>
              <w:rPr>
                <w:sz w:val="19"/>
              </w:rPr>
              <w:t>Use Case</w:t>
            </w:r>
          </w:p>
        </w:tc>
        <w:tc>
          <w:tcPr>
            <w:tcW w:w="4541" w:type="dxa"/>
          </w:tcPr>
          <w:p w14:paraId="16DC4C84">
            <w:pPr>
              <w:jc w:val="both"/>
            </w:pPr>
            <w:r>
              <w:t>Hỗ trợ phân tích luồng xử lý cho các UC: Tìm kiếm &amp; lọc xe (hiển thị đa dạng gói), Đặt xe, và Quản lý phương tiện (cập nhật giá/lịch).</w:t>
            </w:r>
          </w:p>
        </w:tc>
        <w:tc>
          <w:tcPr>
            <w:tcW w:w="3897" w:type="dxa"/>
          </w:tcPr>
          <w:p w14:paraId="1C7034F4">
            <w:pPr>
              <w:jc w:val="both"/>
            </w:pPr>
            <w:r>
              <w:t>Hỗ trợ phân tích luồng xử lý tự động cho các UC: Theo dõi đơn đặt xe, Nhận/trả xe (tự động cập nhật số km, xăng/pin) và Báo cáo sự cố.</w:t>
            </w:r>
          </w:p>
        </w:tc>
      </w:tr>
      <w:tr w14:paraId="01C910A5">
        <w:tblPrEx>
          <w:tblCellMar>
            <w:top w:w="0" w:type="dxa"/>
            <w:left w:w="108" w:type="dxa"/>
            <w:bottom w:w="0" w:type="dxa"/>
            <w:right w:w="108" w:type="dxa"/>
          </w:tblCellMar>
        </w:tblPrEx>
        <w:trPr>
          <w:jc w:val="center"/>
        </w:trPr>
        <w:tc>
          <w:tcPr>
            <w:tcW w:w="10728" w:type="dxa"/>
            <w:gridSpan w:val="3"/>
            <w:tcBorders>
              <w:top w:val="single" w:color="1F4E79" w:sz="12" w:space="0"/>
              <w:left w:val="single" w:color="1F4E79" w:sz="12" w:space="0"/>
              <w:bottom w:val="single" w:color="1F4E79" w:sz="12" w:space="0"/>
              <w:right w:val="single" w:color="1F4E79" w:sz="12" w:space="0"/>
            </w:tcBorders>
            <w:shd w:val="clear" w:color="auto" w:fill="D9EAF7"/>
            <w:vAlign w:val="center"/>
          </w:tcPr>
          <w:p w14:paraId="4494212A">
            <w:r>
              <w:rPr>
                <w:b/>
                <w:color w:val="1F4E79"/>
                <w:sz w:val="28"/>
              </w:rPr>
              <w:t>6. REFERENCES</w:t>
            </w:r>
          </w:p>
        </w:tc>
      </w:tr>
      <w:tr w14:paraId="24EFA76E">
        <w:tblPrEx>
          <w:tblCellMar>
            <w:top w:w="0" w:type="dxa"/>
            <w:left w:w="108" w:type="dxa"/>
            <w:bottom w:w="0" w:type="dxa"/>
            <w:right w:w="108" w:type="dxa"/>
          </w:tblCellMar>
        </w:tblPrEx>
        <w:trPr>
          <w:jc w:val="center"/>
        </w:trPr>
        <w:tc>
          <w:tcPr>
            <w:tcW w:w="2290"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199028E4">
            <w:r>
              <w:rPr>
                <w:b/>
                <w:color w:val="FFFFFF"/>
                <w:sz w:val="20"/>
              </w:rPr>
              <w:t>No.</w:t>
            </w:r>
          </w:p>
        </w:tc>
        <w:tc>
          <w:tcPr>
            <w:tcW w:w="4541"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4A7D66FB">
            <w:r>
              <w:rPr>
                <w:b/>
                <w:color w:val="FFFFFF"/>
                <w:sz w:val="20"/>
              </w:rPr>
              <w:t>Reference</w:t>
            </w:r>
          </w:p>
        </w:tc>
        <w:tc>
          <w:tcPr>
            <w:tcW w:w="3897" w:type="dxa"/>
            <w:tcBorders>
              <w:top w:val="single" w:color="5B9BD5" w:sz="8" w:space="0"/>
              <w:left w:val="single" w:color="5B9BD5" w:sz="8" w:space="0"/>
              <w:bottom w:val="single" w:color="5B9BD5" w:sz="8" w:space="0"/>
              <w:right w:val="single" w:color="5B9BD5" w:sz="8" w:space="0"/>
            </w:tcBorders>
            <w:shd w:val="clear" w:color="auto" w:fill="1F4E79"/>
            <w:vAlign w:val="center"/>
          </w:tcPr>
          <w:p w14:paraId="47E485D9">
            <w:r>
              <w:rPr>
                <w:b/>
                <w:color w:val="FFFFFF"/>
                <w:sz w:val="20"/>
              </w:rPr>
              <w:t>Link</w:t>
            </w:r>
          </w:p>
        </w:tc>
      </w:tr>
      <w:tr w14:paraId="4A146388">
        <w:tblPrEx>
          <w:tblCellMar>
            <w:top w:w="0" w:type="dxa"/>
            <w:left w:w="108" w:type="dxa"/>
            <w:bottom w:w="0" w:type="dxa"/>
            <w:right w:w="108" w:type="dxa"/>
          </w:tblCellMar>
        </w:tblPrEx>
        <w:trPr>
          <w:jc w:val="center"/>
        </w:trPr>
        <w:tc>
          <w:tcPr>
            <w:tcW w:w="2290" w:type="dxa"/>
          </w:tcPr>
          <w:p w14:paraId="18F6F963">
            <w:r>
              <w:rPr>
                <w:sz w:val="19"/>
              </w:rPr>
              <w:t>1</w:t>
            </w:r>
          </w:p>
        </w:tc>
        <w:tc>
          <w:tcPr>
            <w:tcW w:w="4541" w:type="dxa"/>
          </w:tcPr>
          <w:p w14:paraId="55C9F6F2">
            <w:r>
              <w:t>Soppert, M., Brito Oliveira, B., Angeles, R., &amp; Steinhardt, C. (2024). On the benefit of combining car rental and car sharing. Journal of Business Economics, 94, 1261-1298.</w:t>
            </w:r>
          </w:p>
        </w:tc>
        <w:tc>
          <w:tcPr>
            <w:tcW w:w="3897" w:type="dxa"/>
          </w:tcPr>
          <w:p w14:paraId="76BD53C6">
            <w:pPr>
              <w:rPr>
                <w:rFonts w:hint="default"/>
                <w:lang w:val="en-US"/>
              </w:rPr>
            </w:pPr>
            <w:r>
              <w:rPr>
                <w:rFonts w:hint="default"/>
              </w:rPr>
              <w:fldChar w:fldCharType="begin"/>
            </w:r>
            <w:r>
              <w:rPr>
                <w:rFonts w:hint="default"/>
              </w:rPr>
              <w:instrText xml:space="preserve"> HYPERLINK "https://link.springer.com/article/10.1007/s11573-024-01204-9" </w:instrText>
            </w:r>
            <w:r>
              <w:rPr>
                <w:rFonts w:hint="default"/>
              </w:rPr>
              <w:fldChar w:fldCharType="separate"/>
            </w:r>
            <w:r>
              <w:rPr>
                <w:rStyle w:val="20"/>
                <w:rFonts w:hint="default"/>
              </w:rPr>
              <w:t>https://link.springer.com/article/10.1007/s11573-024-01204-</w:t>
            </w:r>
            <w:r>
              <w:rPr>
                <w:rStyle w:val="20"/>
                <w:rFonts w:hint="default"/>
                <w:lang w:val="en-US"/>
              </w:rPr>
              <w:t>9</w:t>
            </w:r>
            <w:r>
              <w:rPr>
                <w:rFonts w:hint="default"/>
              </w:rPr>
              <w:fldChar w:fldCharType="end"/>
            </w:r>
          </w:p>
        </w:tc>
      </w:tr>
      <w:tr w14:paraId="53E2A1FC">
        <w:tblPrEx>
          <w:tblCellMar>
            <w:top w:w="0" w:type="dxa"/>
            <w:left w:w="108" w:type="dxa"/>
            <w:bottom w:w="0" w:type="dxa"/>
            <w:right w:w="108" w:type="dxa"/>
          </w:tblCellMar>
        </w:tblPrEx>
        <w:trPr>
          <w:jc w:val="center"/>
        </w:trPr>
        <w:tc>
          <w:tcPr>
            <w:tcW w:w="2290" w:type="dxa"/>
          </w:tcPr>
          <w:p w14:paraId="0B3B2789">
            <w:r>
              <w:rPr>
                <w:sz w:val="19"/>
              </w:rPr>
              <w:t>2</w:t>
            </w:r>
          </w:p>
        </w:tc>
        <w:tc>
          <w:tcPr>
            <w:tcW w:w="4541" w:type="dxa"/>
          </w:tcPr>
          <w:p w14:paraId="77685F0D">
            <w:r>
              <w:t>Einstein Yap Ming Yu, Ts. Dr. Ngu War Hlaing, Pyi Phyo Aung. Vehicle Location and Status Tracking System using GPS, GSM/GPRS, and OBD technologies. Smart Computing Paradigms: Intelligence and Network Applications.</w:t>
            </w:r>
          </w:p>
        </w:tc>
        <w:tc>
          <w:tcPr>
            <w:tcW w:w="3897" w:type="dxa"/>
          </w:tcPr>
          <w:p w14:paraId="7A135CF8">
            <w:pPr>
              <w:rPr>
                <w:rFonts w:hint="default"/>
              </w:rPr>
            </w:pPr>
            <w:r>
              <w:rPr>
                <w:rFonts w:hint="default"/>
              </w:rPr>
              <w:fldChar w:fldCharType="begin"/>
            </w:r>
            <w:r>
              <w:rPr>
                <w:rFonts w:hint="default"/>
              </w:rPr>
              <w:instrText xml:space="preserve"> HYPERLINK "https://link.springer.com/chapter/10.1007/978-3-032-08240-4_19" </w:instrText>
            </w:r>
            <w:r>
              <w:rPr>
                <w:rFonts w:hint="default"/>
              </w:rPr>
              <w:fldChar w:fldCharType="separate"/>
            </w:r>
            <w:r>
              <w:rPr>
                <w:rStyle w:val="20"/>
                <w:rFonts w:hint="default"/>
              </w:rPr>
              <w:t>https://link.springer.com/chapter/10.1007/978-3-032-08240-4_19</w:t>
            </w:r>
            <w:r>
              <w:rPr>
                <w:rFonts w:hint="default"/>
              </w:rPr>
              <w:fldChar w:fldCharType="end"/>
            </w:r>
          </w:p>
          <w:p w14:paraId="4561ACFB">
            <w:pPr>
              <w:rPr>
                <w:rFonts w:hint="default"/>
              </w:rPr>
            </w:pPr>
          </w:p>
        </w:tc>
      </w:tr>
      <w:tr w14:paraId="4D52115C">
        <w:tblPrEx>
          <w:tblCellMar>
            <w:top w:w="0" w:type="dxa"/>
            <w:left w:w="108" w:type="dxa"/>
            <w:bottom w:w="0" w:type="dxa"/>
            <w:right w:w="108" w:type="dxa"/>
          </w:tblCellMar>
        </w:tblPrEx>
        <w:trPr>
          <w:jc w:val="center"/>
        </w:trPr>
        <w:tc>
          <w:tcPr>
            <w:tcW w:w="10728" w:type="dxa"/>
            <w:gridSpan w:val="3"/>
            <w:tcBorders>
              <w:top w:val="single" w:color="5B9BD5" w:sz="8" w:space="0"/>
              <w:left w:val="single" w:color="5B9BD5" w:sz="8" w:space="0"/>
              <w:bottom w:val="single" w:color="5B9BD5" w:sz="8" w:space="0"/>
              <w:right w:val="single" w:color="5B9BD5" w:sz="8" w:space="0"/>
            </w:tcBorders>
            <w:shd w:val="clear" w:color="auto" w:fill="EAF2F8"/>
            <w:vAlign w:val="center"/>
          </w:tcPr>
          <w:p w14:paraId="386D1F2F">
            <w:r>
              <w:rPr>
                <w:b/>
              </w:rPr>
              <w:t>Kết luận</w:t>
            </w:r>
          </w:p>
        </w:tc>
      </w:tr>
      <w:tr w14:paraId="63992482">
        <w:tblPrEx>
          <w:tblCellMar>
            <w:top w:w="0" w:type="dxa"/>
            <w:left w:w="108" w:type="dxa"/>
            <w:bottom w:w="0" w:type="dxa"/>
            <w:right w:w="108" w:type="dxa"/>
          </w:tblCellMar>
        </w:tblPrEx>
        <w:trPr>
          <w:jc w:val="center"/>
        </w:trPr>
        <w:tc>
          <w:tcPr>
            <w:tcW w:w="10728" w:type="dxa"/>
            <w:gridSpan w:val="3"/>
            <w:tcBorders>
              <w:top w:val="single" w:color="5B9BD5" w:sz="8" w:space="0"/>
              <w:left w:val="single" w:color="5B9BD5" w:sz="8" w:space="0"/>
              <w:bottom w:val="single" w:color="5B9BD5" w:sz="8" w:space="0"/>
              <w:right w:val="single" w:color="5B9BD5" w:sz="8" w:space="0"/>
            </w:tcBorders>
            <w:vAlign w:val="center"/>
          </w:tcPr>
          <w:p w14:paraId="6070D49B">
            <w:pPr>
              <w:spacing w:after="100"/>
              <w:jc w:val="both"/>
            </w:pPr>
            <w:r>
              <w:t xml:space="preserve">Việc nghiên cứu và tổng hợp 2 bài báo khoa học mang lại cho nhóm </w:t>
            </w:r>
            <w:r>
              <w:rPr>
                <w:rFonts w:hint="default"/>
                <w:lang w:val="en-US"/>
              </w:rPr>
              <w:t>thêm góc</w:t>
            </w:r>
            <w:r>
              <w:t xml:space="preserve"> nhìn để phát triển dự án. Paper 1 cung cấp nền tảng vững chắc về mô hình kinh doanh, giúp hệ thống tối ưu hóa tỷ lệ lấp đầy phương tiện và tối đa hóa doanh thu thông qua cơ chế quản lý linh hoạt. Trong khi đó, Paper 2 giải quyết triệt để bài toán kỹ thuật và quản trị rủi ro bằng công nghệ IoT, giúp minh bạch hóa quá trình giao nhận và bảo vệ tài sản cho chủ xe. Sự kết hợp giữa tối ưu hóa nghiệp vụ (Paper 1) và tự động hóa kiểm soát (Paper 2) sẽ giúp tài liệu Phân tích yêu cầu phần mềm (SRS) của dự án được xây dựng một cách logic, chặt chẽ, đáp ứng đúng "nỗi đau" của thị trường và hoàn toàn khả thi về mặt kỹ thuật.</w:t>
            </w:r>
          </w:p>
        </w:tc>
      </w:tr>
    </w:tbl>
    <w:p w14:paraId="00B6D2F1"/>
    <w:sectPr>
      <w:headerReference r:id="rId5" w:type="default"/>
      <w:footerReference r:id="rId6" w:type="default"/>
      <w:pgSz w:w="12240" w:h="15840"/>
      <w:pgMar w:top="792" w:right="864" w:bottom="720" w:left="864" w:header="720" w:footer="720" w:gutter="0"/>
      <w:pgBorders w:offsetFrom="page">
        <w:top w:val="single" w:color="2F5597" w:sz="18" w:space="24"/>
        <w:left w:val="single" w:color="2F5597" w:sz="18" w:space="24"/>
        <w:bottom w:val="single" w:color="2F5597" w:sz="18" w:space="24"/>
        <w:right w:val="single" w:color="2F5597"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96E55">
    <w:pPr>
      <w:pStyle w:val="18"/>
      <w:jc w:val="center"/>
    </w:pPr>
    <w:r>
      <w:rPr>
        <w:color w:val="595959"/>
        <w:sz w:val="18"/>
      </w:rPr>
      <w:t>Dự án: Nền tảng hỗ trợ cho thuê xe ô tô tự lái | 2 SpringerLink Papers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D4F94">
    <w:pPr>
      <w:pStyle w:val="19"/>
      <w:jc w:val="center"/>
    </w:pPr>
    <w:r>
      <w:rPr>
        <w:color w:val="595959"/>
        <w:sz w:val="18"/>
      </w:rPr>
      <w:t>Week 2 Paper Review | Electric Car Rental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20B3"/>
    <w:rsid w:val="0029639D"/>
    <w:rsid w:val="00326F90"/>
    <w:rsid w:val="006B5C17"/>
    <w:rsid w:val="00AA1D8D"/>
    <w:rsid w:val="00B47730"/>
    <w:rsid w:val="00CB0664"/>
    <w:rsid w:val="00D10E11"/>
    <w:rsid w:val="00DB1E8A"/>
    <w:rsid w:val="00FC693F"/>
    <w:rsid w:val="2BAE4C87"/>
    <w:rsid w:val="692502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E79"/>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1290</Words>
  <Characters>4931</Characters>
  <Lines>1</Lines>
  <Paragraphs>1</Paragraphs>
  <TotalTime>28</TotalTime>
  <ScaleCrop>false</ScaleCrop>
  <LinksUpToDate>false</LinksUpToDate>
  <CharactersWithSpaces>6154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Nguyễn Gia Huy</cp:lastModifiedBy>
  <dcterms:modified xsi:type="dcterms:W3CDTF">2026-05-24T03:46:50Z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14f6679a-5093-4011-a974-4a284c0f3d1a</vt:lpwstr>
  </property>
  <property fmtid="{D5CDD505-2E9C-101B-9397-08002B2CF9AE}" pid="3" name="KSOTemplateDocerSaveRecord">
    <vt:lpwstr>eyJoZGlkIjoiMzkwNTA4NzMzMjVhYWI1ODI2YWZlZjY1MjNkZGM3ZWIiLCJ1c2VySWQiOiIxMzkyMDM3Njc2NDMzIn0=</vt:lpwstr>
  </property>
  <property fmtid="{D5CDD505-2E9C-101B-9397-08002B2CF9AE}" pid="4" name="KSOProductBuildVer">
    <vt:lpwstr>1033-12.1.0.26372</vt:lpwstr>
  </property>
  <property fmtid="{D5CDD505-2E9C-101B-9397-08002B2CF9AE}" pid="5" name="ICV">
    <vt:lpwstr>25B8479F6C66419A98B052C96FA33545_12</vt:lpwstr>
  </property>
</Properties>
</file>