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1A1A1A"/>
          <w:sz w:val="72"/>
          <w:szCs w:val="72"/>
        </w:rPr>
        <w:t xml:space="preserve">JackFlash</w:t>
      </w:r>
    </w:p>
    <w:p>
      <w:pPr>
        <w:spacing w:after="600"/>
        <w:jc w:val="center"/>
      </w:pPr>
      <w:r>
        <w:rPr>
          <w:color w:val="666666"/>
          <w:sz w:val="32"/>
          <w:szCs w:val="32"/>
        </w:rPr>
        <w:t xml:space="preserve">Product Family Specification</w:t>
      </w:r>
    </w:p>
    <w:p>
      <w:pPr>
        <w:spacing w:after="80"/>
        <w:jc w:val="center"/>
      </w:pPr>
      <w:r>
        <w:rPr>
          <w:b/>
          <w:bCs/>
          <w:color w:val="FF9F1C"/>
          <w:sz w:val="24"/>
          <w:szCs w:val="24"/>
        </w:rPr>
        <w:t xml:space="preserve">Four apps. One approach. Every fact.</w:t>
      </w:r>
    </w:p>
    <w:p>
      <w:pPr>
        <w:spacing w:after="600"/>
        <w:jc w:val="center"/>
      </w:pPr>
      <w:r>
        <w:rPr>
          <w:color w:val="888888"/>
          <w:sz w:val="22"/>
          <w:szCs w:val="22"/>
        </w:rPr>
        <w:t xml:space="preserve">Concrete → Pictorial → Abstract</w:t>
      </w:r>
    </w:p>
    <w:p>
      <w:pPr>
        <w:jc w:val="center"/>
      </w:pPr>
      <w:r>
        <w:rPr>
          <w:color w:val="999999"/>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spacing w:after="120" w:before="360"/>
      </w:pPr>
      <w:r>
        <w:t xml:space="preserve">The JackFlash Vision</w:t>
      </w:r>
    </w:p>
    <w:p>
      <w:pPr>
        <w:spacing w:after="160" w:line="276"/>
      </w:pPr>
      <w:r>
        <w:t xml:space="preserve">JackFlash is a family of math fluency apps built on the </w:t>
      </w:r>
      <w:r>
        <w:rPr>
          <w:b/>
          <w:bCs/>
        </w:rPr>
        <w:t xml:space="preserve">Concrete → Pictorial → Abstract (CPA)</w:t>
      </w:r>
      <w:r>
        <w:t xml:space="preserve"> progression used in Singapore-style math curricula worldwide. Each app targets a different operation domain but shares a unified brand, interaction model, and pedagogical philosophy.</w:t>
      </w:r>
    </w:p>
    <w:p>
      <w:pPr>
        <w:spacing w:after="160" w:line="276"/>
      </w:pPr>
      <w:r>
        <w:t xml:space="preserve">The core principle: kids build </w:t>
      </w:r>
      <w:r>
        <w:rPr>
          <w:b/>
          <w:bCs/>
        </w:rPr>
        <w:t xml:space="preserve">understanding before memorization</w:t>
      </w:r>
      <w:r>
        <w:t xml:space="preserve">. Every app provides visual scaffolding that fades as mastery grows, teaches operations as fact families (not isolated skills), and respects that 5 minutes of focused practice beats 30 minutes of grinding.</w:t>
      </w:r>
    </w:p>
    <w:p>
      <w:pPr>
        <w:pStyle w:val="Heading1"/>
        <w:spacing w:after="120" w:before="360"/>
      </w:pPr>
      <w:r>
        <w:t xml:space="preserve">Brand Identity</w:t>
      </w:r>
    </w:p>
    <w:p>
      <w:pPr>
        <w:spacing w:after="160" w:line="276"/>
      </w:pPr>
      <w:r>
        <w:rPr>
          <w:b/>
          <w:bCs/>
        </w:rPr>
        <w:t xml:space="preserve">Name: </w:t>
      </w:r>
      <w:r>
        <w:t xml:space="preserve">JackFlash (parent brand). Each app is a named module: JackFlash: Add, JackFlash: Multiply, etc.</w:t>
      </w:r>
    </w:p>
    <w:p>
      <w:pPr>
        <w:spacing w:after="160" w:line="276"/>
      </w:pPr>
      <w:r>
        <w:rPr>
          <w:b/>
          <w:bCs/>
        </w:rPr>
        <w:t xml:space="preserve">Visual Style: </w:t>
      </w:r>
      <w:r>
        <w:t xml:space="preserve">Neobrutalist design — bold borders, offset shadows, bright saturated colors on a warm cream background. Typography uses Shrikhand for display and Space Mono / Space Grotesk for UI elements.</w:t>
      </w:r>
    </w:p>
    <w:p>
      <w:pPr>
        <w:spacing w:after="160" w:line="276"/>
      </w:pPr>
      <w:r>
        <w:rPr>
          <w:b/>
          <w:bCs/>
        </w:rPr>
        <w:t xml:space="preserve">Logo: </w:t>
      </w:r>
      <w:r>
        <w:t xml:space="preserve">White lightning bolt with orange border, paired with the JackFlash wordmark. Consistent across all apps; module name appears below in the subhead.</w:t>
      </w:r>
    </w:p>
    <w:p>
      <w:pPr>
        <w:spacing w:after="160" w:line="276"/>
      </w:pPr>
      <w:r>
        <w:rPr>
          <w:b/>
          <w:bCs/>
        </w:rPr>
        <w:t xml:space="preserve">Color System: </w:t>
      </w:r>
      <w:r>
        <w:t xml:space="preserve">Each app shares the core palette but has a primary accent color tied to its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b/>
                <w:bCs/>
              </w:rPr>
              <w:t xml:space="preserve">App</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b/>
                <w:bCs/>
              </w:rPr>
              <w:t xml:space="preserve">Primary Accent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b/>
                <w:bCs/>
              </w:rPr>
              <w:t xml:space="preserve">Grades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0"/>
                <w:szCs w:val="20"/>
              </w:rPr>
              <w:t xml:space="preserve">JackFlash: Add</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Blue (#4CC9F0)</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K–2</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0"/>
                <w:szCs w:val="20"/>
              </w:rPr>
              <w:t xml:space="preserve">JackFlash: Multiply</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Green (#06D6A0)</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2–4</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0"/>
                <w:szCs w:val="20"/>
              </w:rPr>
              <w:t xml:space="preserve">JackFlash: Fractions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Orange (#FF9F1C)</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3–5</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0"/>
                <w:szCs w:val="20"/>
              </w:rPr>
              <w:t xml:space="preserve">JackFlash: Place Value</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Purple (#B388FF)</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1–3</w:t>
            </w:r>
          </w:p>
        </w:tc>
      </w:tr>
    </w:tbl>
    <w:p>
      <w:pPr>
        <w:spacing w:after="160" w:line="276"/>
      </w:pPr>
      <w:r>
        <w:rPr>
          <w:b/>
          <w:bCs/>
        </w:rPr>
        <w:t xml:space="preserve">Shared UX Patterns: </w:t>
      </w:r>
      <w:r>
        <w:t xml:space="preserve">CPA mode toggle, mastery dots (3 correct = mastered), weighted question selection (weak facts appear more often), collapsible controls panel, streak tracking, session score.</w:t>
      </w:r>
    </w:p>
    <w:p>
      <w:r>
        <w:br w:type="page"/>
      </w:r>
    </w:p>
    <w:p>
      <w:pPr>
        <w:pStyle w:val="Heading1"/>
        <w:spacing w:after="120" w:before="360"/>
      </w:pPr>
      <w:r>
        <w:t xml:space="preserve">The Four Apps</w:t>
      </w:r>
    </w:p>
    <w:p>
      <w:pPr>
        <w:spacing w:after="80" w:before="280"/>
      </w:pPr>
      <w:r>
        <w:rPr>
          <w:rFonts w:ascii="Arial" w:cs="Arial" w:eastAsia="Arial" w:hAnsi="Arial"/>
          <w:b/>
          <w:bCs/>
          <w:color w:val="1A1A1A"/>
          <w:sz w:val="28"/>
          <w:szCs w:val="28"/>
        </w:rPr>
        <w:t xml:space="preserve">JackFlash: Multiply</w:t>
      </w:r>
      <w:r>
        <w:rPr>
          <w:color w:val="666666"/>
          <w:sz w:val="20"/>
          <w:szCs w:val="20"/>
        </w:rPr>
        <w:t xml:space="preserve">   Grades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06D6A0" w:val="clear"/>
            <w:tcMar>
              <w:top w:type="dxa" w:w="100"/>
              <w:left w:type="dxa" w:w="140"/>
              <w:bottom w:type="dxa" w:w="100"/>
              <w:right w:type="dxa" w:w="140"/>
            </w:tcMar>
          </w:tcPr>
          <w:p>
            <w:r>
              <w:rPr>
                <w:b/>
                <w:bCs/>
                <w:color w:val="1A1A1A"/>
                <w:sz w:val="20"/>
                <w:szCs w:val="20"/>
              </w:rPr>
              <w:t xml:space="preserve">Tagline</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Multiplication and division fact families with visual arrays</w:t>
            </w:r>
          </w:p>
        </w:tc>
      </w:tr>
      <w:tr>
        <w:tc>
          <w:tcPr>
            <w:tcW w:type="dxa" w:w="2340"/>
            <w:tcBorders>
              <w:top w:val="single" w:color="CCCCCC" w:sz="1"/>
              <w:left w:val="single" w:color="CCCCCC" w:sz="1"/>
              <w:bottom w:val="single" w:color="CCCCCC" w:sz="1"/>
              <w:right w:val="single" w:color="CCCCCC" w:sz="1"/>
            </w:tcBorders>
            <w:shd w:fill="06D6A0" w:val="clear"/>
            <w:tcMar>
              <w:top w:type="dxa" w:w="100"/>
              <w:left w:type="dxa" w:w="140"/>
              <w:bottom w:type="dxa" w:w="100"/>
              <w:right w:type="dxa" w:w="140"/>
            </w:tcMar>
          </w:tcPr>
          <w:p>
            <w:r>
              <w:rPr>
                <w:b/>
                <w:bCs/>
                <w:color w:val="1A1A1A"/>
                <w:sz w:val="20"/>
                <w:szCs w:val="20"/>
              </w:rPr>
              <w:t xml:space="preserve">Status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Live — current app. PWA with localStorage persistence. Deployed on GitHub Pages.</w:t>
            </w:r>
          </w:p>
        </w:tc>
      </w:tr>
      <w:tr>
        <w:tc>
          <w:tcPr>
            <w:tcW w:type="dxa" w:w="2340"/>
            <w:tcBorders>
              <w:top w:val="single" w:color="CCCCCC" w:sz="1"/>
              <w:left w:val="single" w:color="CCCCCC" w:sz="1"/>
              <w:bottom w:val="single" w:color="CCCCCC" w:sz="1"/>
              <w:right w:val="single" w:color="CCCCCC" w:sz="1"/>
            </w:tcBorders>
            <w:shd w:fill="06D6A0" w:val="clear"/>
            <w:tcMar>
              <w:top w:type="dxa" w:w="100"/>
              <w:left w:type="dxa" w:w="140"/>
              <w:bottom w:type="dxa" w:w="100"/>
              <w:right w:type="dxa" w:w="140"/>
            </w:tcMar>
          </w:tcPr>
          <w:p>
            <w:r>
              <w:rPr>
                <w:b/>
                <w:bCs/>
                <w:color w:val="1A1A1A"/>
                <w:sz w:val="20"/>
                <w:szCs w:val="20"/>
              </w:rPr>
              <w:t xml:space="preserve">Fact Types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Multiplication (×), division (÷), and mixed mode. Tables 2–10, all combinations. Facts presented as families: 6×4=24, 24÷4=6, 24÷6=4.</w:t>
            </w:r>
          </w:p>
        </w:tc>
      </w:tr>
      <w:tr>
        <w:tc>
          <w:tcPr>
            <w:tcW w:type="dxa" w:w="2340"/>
            <w:tcBorders>
              <w:top w:val="single" w:color="CCCCCC" w:sz="1"/>
              <w:left w:val="single" w:color="CCCCCC" w:sz="1"/>
              <w:bottom w:val="single" w:color="CCCCCC" w:sz="1"/>
              <w:right w:val="single" w:color="CCCCCC" w:sz="1"/>
            </w:tcBorders>
            <w:shd w:fill="06D6A0" w:val="clear"/>
            <w:tcMar>
              <w:top w:type="dxa" w:w="100"/>
              <w:left w:type="dxa" w:w="140"/>
              <w:bottom w:type="dxa" w:w="100"/>
              <w:right w:type="dxa" w:w="140"/>
            </w:tcMar>
          </w:tcPr>
          <w:p>
            <w:r>
              <w:rPr>
                <w:b/>
                <w:bCs/>
                <w:color w:val="1A1A1A"/>
                <w:sz w:val="20"/>
                <w:szCs w:val="20"/>
              </w:rPr>
              <w:t xml:space="preserve">Visual Tools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Dot arrays (rows × columns), skip counting sequences, number bonds (whole = part × part)</w:t>
            </w:r>
          </w:p>
        </w:tc>
      </w:tr>
      <w:tr>
        <w:tc>
          <w:tcPr>
            <w:tcW w:type="dxa" w:w="2340"/>
            <w:tcBorders>
              <w:top w:val="single" w:color="CCCCCC" w:sz="1"/>
              <w:left w:val="single" w:color="CCCCCC" w:sz="1"/>
              <w:bottom w:val="single" w:color="CCCCCC" w:sz="1"/>
              <w:right w:val="single" w:color="CCCCCC" w:sz="1"/>
            </w:tcBorders>
            <w:shd w:fill="06D6A0" w:val="clear"/>
            <w:tcMar>
              <w:top w:type="dxa" w:w="100"/>
              <w:left w:type="dxa" w:w="140"/>
              <w:bottom w:type="dxa" w:w="100"/>
              <w:right w:type="dxa" w:w="140"/>
            </w:tcMar>
          </w:tcPr>
          <w:p>
            <w:r>
              <w:rPr>
                <w:b/>
                <w:bCs/>
                <w:color w:val="1A1A1A"/>
                <w:sz w:val="20"/>
                <w:szCs w:val="20"/>
              </w:rPr>
              <w:t xml:space="preserve">CPA Modes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Concrete: arrays always visible, countable. Pictorial: arrays fade as mastery grows. Abstract: numbers only, with on-demand array and skip count buttons.</w:t>
            </w:r>
          </w:p>
        </w:tc>
      </w:tr>
    </w:tbl>
    <w:p>
      <w:pPr>
        <w:spacing w:after="80" w:before="280"/>
      </w:pPr>
      <w:r>
        <w:rPr>
          <w:rFonts w:ascii="Arial" w:cs="Arial" w:eastAsia="Arial" w:hAnsi="Arial"/>
          <w:b/>
          <w:bCs/>
          <w:color w:val="1A1A1A"/>
          <w:sz w:val="28"/>
          <w:szCs w:val="28"/>
        </w:rPr>
        <w:t xml:space="preserve">JackFlash: Add</w:t>
      </w:r>
      <w:r>
        <w:rPr>
          <w:color w:val="666666"/>
          <w:sz w:val="20"/>
          <w:szCs w:val="20"/>
        </w:rPr>
        <w:t xml:space="preserve">   Grades K–2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4CC9F0" w:val="clear"/>
            <w:tcMar>
              <w:top w:type="dxa" w:w="100"/>
              <w:left w:type="dxa" w:w="140"/>
              <w:bottom w:type="dxa" w:w="100"/>
              <w:right w:type="dxa" w:w="140"/>
            </w:tcMar>
          </w:tcPr>
          <w:p>
            <w:r>
              <w:rPr>
                <w:b/>
                <w:bCs/>
                <w:color w:val="1A1A1A"/>
                <w:sz w:val="20"/>
                <w:szCs w:val="20"/>
              </w:rPr>
              <w:t xml:space="preserve">Tagline</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Addition and subtraction fact families with ten-frames</w:t>
            </w:r>
          </w:p>
        </w:tc>
      </w:tr>
      <w:tr>
        <w:tc>
          <w:tcPr>
            <w:tcW w:type="dxa" w:w="2340"/>
            <w:tcBorders>
              <w:top w:val="single" w:color="CCCCCC" w:sz="1"/>
              <w:left w:val="single" w:color="CCCCCC" w:sz="1"/>
              <w:bottom w:val="single" w:color="CCCCCC" w:sz="1"/>
              <w:right w:val="single" w:color="CCCCCC" w:sz="1"/>
            </w:tcBorders>
            <w:shd w:fill="4CC9F0" w:val="clear"/>
            <w:tcMar>
              <w:top w:type="dxa" w:w="100"/>
              <w:left w:type="dxa" w:w="140"/>
              <w:bottom w:type="dxa" w:w="100"/>
              <w:right w:type="dxa" w:w="140"/>
            </w:tcMar>
          </w:tcPr>
          <w:p>
            <w:r>
              <w:rPr>
                <w:b/>
                <w:bCs/>
                <w:color w:val="1A1A1A"/>
                <w:sz w:val="20"/>
                <w:szCs w:val="20"/>
              </w:rPr>
              <w:t xml:space="preserve">Status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Not started. Highest priority next build — closest architecture to Multiply.</w:t>
            </w:r>
          </w:p>
        </w:tc>
      </w:tr>
      <w:tr>
        <w:tc>
          <w:tcPr>
            <w:tcW w:type="dxa" w:w="2340"/>
            <w:tcBorders>
              <w:top w:val="single" w:color="CCCCCC" w:sz="1"/>
              <w:left w:val="single" w:color="CCCCCC" w:sz="1"/>
              <w:bottom w:val="single" w:color="CCCCCC" w:sz="1"/>
              <w:right w:val="single" w:color="CCCCCC" w:sz="1"/>
            </w:tcBorders>
            <w:shd w:fill="4CC9F0" w:val="clear"/>
            <w:tcMar>
              <w:top w:type="dxa" w:w="100"/>
              <w:left w:type="dxa" w:w="140"/>
              <w:bottom w:type="dxa" w:w="100"/>
              <w:right w:type="dxa" w:w="140"/>
            </w:tcMar>
          </w:tcPr>
          <w:p>
            <w:r>
              <w:rPr>
                <w:b/>
                <w:bCs/>
                <w:color w:val="1A1A1A"/>
                <w:sz w:val="20"/>
                <w:szCs w:val="20"/>
              </w:rPr>
              <w:t xml:space="preserve">Fact Types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Addition (+), subtraction (−), and mixed mode. Facts to 20. Fact families: 7+5=12, 12−5=7, 12−7=5. Strategies: making 10, doubles, doubles+1.</w:t>
            </w:r>
          </w:p>
        </w:tc>
      </w:tr>
      <w:tr>
        <w:tc>
          <w:tcPr>
            <w:tcW w:type="dxa" w:w="2340"/>
            <w:tcBorders>
              <w:top w:val="single" w:color="CCCCCC" w:sz="1"/>
              <w:left w:val="single" w:color="CCCCCC" w:sz="1"/>
              <w:bottom w:val="single" w:color="CCCCCC" w:sz="1"/>
              <w:right w:val="single" w:color="CCCCCC" w:sz="1"/>
            </w:tcBorders>
            <w:shd w:fill="4CC9F0" w:val="clear"/>
            <w:tcMar>
              <w:top w:type="dxa" w:w="100"/>
              <w:left w:type="dxa" w:w="140"/>
              <w:bottom w:type="dxa" w:w="100"/>
              <w:right w:type="dxa" w:w="140"/>
            </w:tcMar>
          </w:tcPr>
          <w:p>
            <w:r>
              <w:rPr>
                <w:b/>
                <w:bCs/>
                <w:color w:val="1A1A1A"/>
                <w:sz w:val="20"/>
                <w:szCs w:val="20"/>
              </w:rPr>
              <w:t xml:space="preserve">Visual Tools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Ten-frames (5×2 grids with filled dots), part-whole number bonds, number lines, making-10 decomposition visuals</w:t>
            </w:r>
          </w:p>
        </w:tc>
      </w:tr>
      <w:tr>
        <w:tc>
          <w:tcPr>
            <w:tcW w:type="dxa" w:w="2340"/>
            <w:tcBorders>
              <w:top w:val="single" w:color="CCCCCC" w:sz="1"/>
              <w:left w:val="single" w:color="CCCCCC" w:sz="1"/>
              <w:bottom w:val="single" w:color="CCCCCC" w:sz="1"/>
              <w:right w:val="single" w:color="CCCCCC" w:sz="1"/>
            </w:tcBorders>
            <w:shd w:fill="4CC9F0" w:val="clear"/>
            <w:tcMar>
              <w:top w:type="dxa" w:w="100"/>
              <w:left w:type="dxa" w:w="140"/>
              <w:bottom w:type="dxa" w:w="100"/>
              <w:right w:type="dxa" w:w="140"/>
            </w:tcMar>
          </w:tcPr>
          <w:p>
            <w:r>
              <w:rPr>
                <w:b/>
                <w:bCs/>
                <w:color w:val="1A1A1A"/>
                <w:sz w:val="20"/>
                <w:szCs w:val="20"/>
              </w:rPr>
              <w:t xml:space="preserve">CPA Modes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Concrete: ten-frames always visible, dots animate in. Pictorial: ten-frames fade with mastery, number bonds persist. Abstract: equations only, with on-demand ten-frame and number line buttons.</w:t>
            </w:r>
          </w:p>
        </w:tc>
      </w:tr>
    </w:tbl>
    <w:p>
      <w:pPr>
        <w:spacing w:after="80" w:before="280"/>
      </w:pPr>
      <w:r>
        <w:rPr>
          <w:rFonts w:ascii="Arial" w:cs="Arial" w:eastAsia="Arial" w:hAnsi="Arial"/>
          <w:b/>
          <w:bCs/>
          <w:color w:val="1A1A1A"/>
          <w:sz w:val="28"/>
          <w:szCs w:val="28"/>
        </w:rPr>
        <w:t xml:space="preserve">JackFlash: Fractions</w:t>
      </w:r>
      <w:r>
        <w:rPr>
          <w:color w:val="666666"/>
          <w:sz w:val="20"/>
          <w:szCs w:val="20"/>
        </w:rPr>
        <w:t xml:space="preserve">   Grades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F9F1C" w:val="clear"/>
            <w:tcMar>
              <w:top w:type="dxa" w:w="100"/>
              <w:left w:type="dxa" w:w="140"/>
              <w:bottom w:type="dxa" w:w="100"/>
              <w:right w:type="dxa" w:w="140"/>
            </w:tcMar>
          </w:tcPr>
          <w:p>
            <w:r>
              <w:rPr>
                <w:b/>
                <w:bCs/>
                <w:color w:val="1A1A1A"/>
                <w:sz w:val="20"/>
                <w:szCs w:val="20"/>
              </w:rPr>
              <w:t xml:space="preserve">Tagline</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Fraction fluency through bar models and visual comparison</w:t>
            </w:r>
          </w:p>
        </w:tc>
      </w:tr>
      <w:tr>
        <w:tc>
          <w:tcPr>
            <w:tcW w:type="dxa" w:w="2340"/>
            <w:tcBorders>
              <w:top w:val="single" w:color="CCCCCC" w:sz="1"/>
              <w:left w:val="single" w:color="CCCCCC" w:sz="1"/>
              <w:bottom w:val="single" w:color="CCCCCC" w:sz="1"/>
              <w:right w:val="single" w:color="CCCCCC" w:sz="1"/>
            </w:tcBorders>
            <w:shd w:fill="FF9F1C" w:val="clear"/>
            <w:tcMar>
              <w:top w:type="dxa" w:w="100"/>
              <w:left w:type="dxa" w:w="140"/>
              <w:bottom w:type="dxa" w:w="100"/>
              <w:right w:type="dxa" w:w="140"/>
            </w:tcMar>
          </w:tcPr>
          <w:p>
            <w:r>
              <w:rPr>
                <w:b/>
                <w:bCs/>
                <w:color w:val="1A1A1A"/>
                <w:sz w:val="20"/>
                <w:szCs w:val="20"/>
              </w:rPr>
              <w:t xml:space="preserve">Status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Not started. Highest market value — parents struggle most here. Requires new visual components (bar model renderer).</w:t>
            </w:r>
          </w:p>
        </w:tc>
      </w:tr>
      <w:tr>
        <w:tc>
          <w:tcPr>
            <w:tcW w:type="dxa" w:w="2340"/>
            <w:tcBorders>
              <w:top w:val="single" w:color="CCCCCC" w:sz="1"/>
              <w:left w:val="single" w:color="CCCCCC" w:sz="1"/>
              <w:bottom w:val="single" w:color="CCCCCC" w:sz="1"/>
              <w:right w:val="single" w:color="CCCCCC" w:sz="1"/>
            </w:tcBorders>
            <w:shd w:fill="FF9F1C" w:val="clear"/>
            <w:tcMar>
              <w:top w:type="dxa" w:w="100"/>
              <w:left w:type="dxa" w:w="140"/>
              <w:bottom w:type="dxa" w:w="100"/>
              <w:right w:type="dxa" w:w="140"/>
            </w:tcMar>
          </w:tcPr>
          <w:p>
            <w:r>
              <w:rPr>
                <w:b/>
                <w:bCs/>
                <w:color w:val="1A1A1A"/>
                <w:sz w:val="20"/>
                <w:szCs w:val="20"/>
              </w:rPr>
              <w:t xml:space="preserve">Fact Types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Equivalent fractions (2/4 = 1/2), comparing fractions, adding/subtracting with like and unlike denominators, multiplying fractions by whole numbers. Presented as visual puzzles, not just equations.</w:t>
            </w:r>
          </w:p>
        </w:tc>
      </w:tr>
      <w:tr>
        <w:tc>
          <w:tcPr>
            <w:tcW w:type="dxa" w:w="2340"/>
            <w:tcBorders>
              <w:top w:val="single" w:color="CCCCCC" w:sz="1"/>
              <w:left w:val="single" w:color="CCCCCC" w:sz="1"/>
              <w:bottom w:val="single" w:color="CCCCCC" w:sz="1"/>
              <w:right w:val="single" w:color="CCCCCC" w:sz="1"/>
            </w:tcBorders>
            <w:shd w:fill="FF9F1C" w:val="clear"/>
            <w:tcMar>
              <w:top w:type="dxa" w:w="100"/>
              <w:left w:type="dxa" w:w="140"/>
              <w:bottom w:type="dxa" w:w="100"/>
              <w:right w:type="dxa" w:w="140"/>
            </w:tcMar>
          </w:tcPr>
          <w:p>
            <w:r>
              <w:rPr>
                <w:b/>
                <w:bCs/>
                <w:color w:val="1A1A1A"/>
                <w:sz w:val="20"/>
                <w:szCs w:val="20"/>
              </w:rPr>
              <w:t xml:space="preserve">Visual Tools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Bar models (rectangular strips divided into equal parts), fraction walls, number lines with fraction markers, area models for multiplication</w:t>
            </w:r>
          </w:p>
        </w:tc>
      </w:tr>
      <w:tr>
        <w:tc>
          <w:tcPr>
            <w:tcW w:type="dxa" w:w="2340"/>
            <w:tcBorders>
              <w:top w:val="single" w:color="CCCCCC" w:sz="1"/>
              <w:left w:val="single" w:color="CCCCCC" w:sz="1"/>
              <w:bottom w:val="single" w:color="CCCCCC" w:sz="1"/>
              <w:right w:val="single" w:color="CCCCCC" w:sz="1"/>
            </w:tcBorders>
            <w:shd w:fill="FF9F1C" w:val="clear"/>
            <w:tcMar>
              <w:top w:type="dxa" w:w="100"/>
              <w:left w:type="dxa" w:w="140"/>
              <w:bottom w:type="dxa" w:w="100"/>
              <w:right w:type="dxa" w:w="140"/>
            </w:tcMar>
          </w:tcPr>
          <w:p>
            <w:r>
              <w:rPr>
                <w:b/>
                <w:bCs/>
                <w:color w:val="1A1A1A"/>
                <w:sz w:val="20"/>
                <w:szCs w:val="20"/>
              </w:rPr>
              <w:t xml:space="preserve">CPA Modes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Concrete: full bar models with labeled parts. Pictorial: bar models simplify and fade, equations appear alongside. Abstract: symbolic fractions only, with on-demand bar model button.</w:t>
            </w:r>
          </w:p>
        </w:tc>
      </w:tr>
    </w:tbl>
    <w:p>
      <w:pPr>
        <w:spacing w:after="80" w:before="280"/>
      </w:pPr>
      <w:r>
        <w:rPr>
          <w:rFonts w:ascii="Arial" w:cs="Arial" w:eastAsia="Arial" w:hAnsi="Arial"/>
          <w:b/>
          <w:bCs/>
          <w:color w:val="1A1A1A"/>
          <w:sz w:val="28"/>
          <w:szCs w:val="28"/>
        </w:rPr>
        <w:t xml:space="preserve">JackFlash: Place Value</w:t>
      </w:r>
      <w:r>
        <w:rPr>
          <w:color w:val="666666"/>
          <w:sz w:val="20"/>
          <w:szCs w:val="20"/>
        </w:rPr>
        <w:t xml:space="preserve">   Grades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B388FF" w:val="clear"/>
            <w:tcMar>
              <w:top w:type="dxa" w:w="100"/>
              <w:left w:type="dxa" w:w="140"/>
              <w:bottom w:type="dxa" w:w="100"/>
              <w:right w:type="dxa" w:w="140"/>
            </w:tcMar>
          </w:tcPr>
          <w:p>
            <w:r>
              <w:rPr>
                <w:b/>
                <w:bCs/>
                <w:color w:val="1A1A1A"/>
                <w:sz w:val="20"/>
                <w:szCs w:val="20"/>
              </w:rPr>
              <w:t xml:space="preserve">Tagline</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Composing and decomposing numbers with place value discs</w:t>
            </w:r>
          </w:p>
        </w:tc>
      </w:tr>
      <w:tr>
        <w:tc>
          <w:tcPr>
            <w:tcW w:type="dxa" w:w="2340"/>
            <w:tcBorders>
              <w:top w:val="single" w:color="CCCCCC" w:sz="1"/>
              <w:left w:val="single" w:color="CCCCCC" w:sz="1"/>
              <w:bottom w:val="single" w:color="CCCCCC" w:sz="1"/>
              <w:right w:val="single" w:color="CCCCCC" w:sz="1"/>
            </w:tcBorders>
            <w:shd w:fill="B388FF" w:val="clear"/>
            <w:tcMar>
              <w:top w:type="dxa" w:w="100"/>
              <w:left w:type="dxa" w:w="140"/>
              <w:bottom w:type="dxa" w:w="100"/>
              <w:right w:type="dxa" w:w="140"/>
            </w:tcMar>
          </w:tcPr>
          <w:p>
            <w:r>
              <w:rPr>
                <w:b/>
                <w:bCs/>
                <w:color w:val="1A1A1A"/>
                <w:sz w:val="20"/>
                <w:szCs w:val="20"/>
              </w:rPr>
              <w:t xml:space="preserve">Status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Not started. Foundational but niche. Consider bundling with Add as an unlock.</w:t>
            </w:r>
          </w:p>
        </w:tc>
      </w:tr>
      <w:tr>
        <w:tc>
          <w:tcPr>
            <w:tcW w:type="dxa" w:w="2340"/>
            <w:tcBorders>
              <w:top w:val="single" w:color="CCCCCC" w:sz="1"/>
              <w:left w:val="single" w:color="CCCCCC" w:sz="1"/>
              <w:bottom w:val="single" w:color="CCCCCC" w:sz="1"/>
              <w:right w:val="single" w:color="CCCCCC" w:sz="1"/>
            </w:tcBorders>
            <w:shd w:fill="B388FF" w:val="clear"/>
            <w:tcMar>
              <w:top w:type="dxa" w:w="100"/>
              <w:left w:type="dxa" w:w="140"/>
              <w:bottom w:type="dxa" w:w="100"/>
              <w:right w:type="dxa" w:w="140"/>
            </w:tcMar>
          </w:tcPr>
          <w:p>
            <w:r>
              <w:rPr>
                <w:b/>
                <w:bCs/>
                <w:color w:val="1A1A1A"/>
                <w:sz w:val="20"/>
                <w:szCs w:val="20"/>
              </w:rPr>
              <w:t xml:space="preserve">Fact Types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Reading and writing numbers to 1,000. Composing (3 hundreds + 4 tens + 7 ones = 347). Decomposing (528 = 500 + 20 + 8). Comparing with &gt;, &lt;, =. Rounding to nearest 10 and 100.</w:t>
            </w:r>
          </w:p>
        </w:tc>
      </w:tr>
      <w:tr>
        <w:tc>
          <w:tcPr>
            <w:tcW w:type="dxa" w:w="2340"/>
            <w:tcBorders>
              <w:top w:val="single" w:color="CCCCCC" w:sz="1"/>
              <w:left w:val="single" w:color="CCCCCC" w:sz="1"/>
              <w:bottom w:val="single" w:color="CCCCCC" w:sz="1"/>
              <w:right w:val="single" w:color="CCCCCC" w:sz="1"/>
            </w:tcBorders>
            <w:shd w:fill="B388FF" w:val="clear"/>
            <w:tcMar>
              <w:top w:type="dxa" w:w="100"/>
              <w:left w:type="dxa" w:w="140"/>
              <w:bottom w:type="dxa" w:w="100"/>
              <w:right w:type="dxa" w:w="140"/>
            </w:tcMar>
          </w:tcPr>
          <w:p>
            <w:r>
              <w:rPr>
                <w:b/>
                <w:bCs/>
                <w:color w:val="1A1A1A"/>
                <w:sz w:val="20"/>
                <w:szCs w:val="20"/>
              </w:rPr>
              <w:t xml:space="preserve">Visual Tools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Place value discs (ones, tens, hundreds), place value chart (columns), expanded form visuals, base-10 block representations</w:t>
            </w:r>
          </w:p>
        </w:tc>
      </w:tr>
      <w:tr>
        <w:tc>
          <w:tcPr>
            <w:tcW w:type="dxa" w:w="2340"/>
            <w:tcBorders>
              <w:top w:val="single" w:color="CCCCCC" w:sz="1"/>
              <w:left w:val="single" w:color="CCCCCC" w:sz="1"/>
              <w:bottom w:val="single" w:color="CCCCCC" w:sz="1"/>
              <w:right w:val="single" w:color="CCCCCC" w:sz="1"/>
            </w:tcBorders>
            <w:shd w:fill="B388FF" w:val="clear"/>
            <w:tcMar>
              <w:top w:type="dxa" w:w="100"/>
              <w:left w:type="dxa" w:w="140"/>
              <w:bottom w:type="dxa" w:w="100"/>
              <w:right w:type="dxa" w:w="140"/>
            </w:tcMar>
          </w:tcPr>
          <w:p>
            <w:r>
              <w:rPr>
                <w:b/>
                <w:bCs/>
                <w:color w:val="1A1A1A"/>
                <w:sz w:val="20"/>
                <w:szCs w:val="20"/>
              </w:rPr>
              <w:t xml:space="preserve">CPA Modes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Concrete: disc manipulatives on a place value chart, draggable. Pictorial: discs simplify to labeled counters, chart fades. Abstract: expanded form equations only, with on-demand disc view.</w:t>
            </w:r>
          </w:p>
        </w:tc>
      </w:tr>
    </w:tbl>
    <w:p>
      <w:r>
        <w:br w:type="page"/>
      </w:r>
    </w:p>
    <w:p>
      <w:pPr>
        <w:pStyle w:val="Heading1"/>
        <w:spacing w:after="120" w:before="360"/>
      </w:pPr>
      <w:r>
        <w:t xml:space="preserve">Shared Architecture</w:t>
      </w:r>
    </w:p>
    <w:p>
      <w:pPr>
        <w:spacing w:after="160" w:line="276"/>
      </w:pPr>
      <w:r>
        <w:t xml:space="preserve">All four apps share a common technical foundation, which reduces development time and ensures a consistent experience across the family.</w:t>
      </w:r>
    </w:p>
    <w:p>
      <w:pPr>
        <w:pStyle w:val="Heading2"/>
        <w:spacing w:after="120" w:before="240"/>
      </w:pPr>
      <w:r>
        <w:t xml:space="preserve">Core Engine</w:t>
      </w:r>
    </w:p>
    <w:p>
      <w:pPr>
        <w:spacing w:after="160" w:line="276"/>
      </w:pPr>
      <w:r>
        <w:rPr>
          <w:b/>
          <w:bCs/>
        </w:rPr>
        <w:t xml:space="preserve">Fact Generator: </w:t>
      </w:r>
      <w:r>
        <w:t xml:space="preserve">Each app defines its own fact set (e.g., all multiplication combinations for tables 2–10, or all addition facts to 20). The generator produces fact objects with the operands, correct answer, and metadata for visual scaffolding.</w:t>
      </w:r>
    </w:p>
    <w:p>
      <w:pPr>
        <w:spacing w:after="160" w:line="276"/>
      </w:pPr>
      <w:r>
        <w:rPr>
          <w:b/>
          <w:bCs/>
        </w:rPr>
        <w:t xml:space="preserve">Weighted Selection: </w:t>
      </w:r>
      <w:r>
        <w:t xml:space="preserve">Unmastered facts appear more frequently. Weight = (mastery threshold + 1) − current mastery level, with a floor of 1. This naturally focuses practice on weak spots without ignoring mastered facts entirely.</w:t>
      </w:r>
    </w:p>
    <w:p>
      <w:pPr>
        <w:spacing w:after="160" w:line="276"/>
      </w:pPr>
      <w:r>
        <w:rPr>
          <w:b/>
          <w:bCs/>
        </w:rPr>
        <w:t xml:space="preserve">Mastery Tracking: </w:t>
      </w:r>
      <w:r>
        <w:t xml:space="preserve">Each fact requires 3 consecutive correct answers to be marked as mastered. Stored in localStorage (web) or AsyncStorage (native) keyed by fact identifier. Progress persists across sessions.</w:t>
      </w:r>
    </w:p>
    <w:p>
      <w:pPr>
        <w:spacing w:after="160" w:line="276"/>
      </w:pPr>
      <w:r>
        <w:rPr>
          <w:b/>
          <w:bCs/>
        </w:rPr>
        <w:t xml:space="preserve">CPA Mode Controller: </w:t>
      </w:r>
      <w:r>
        <w:t xml:space="preserve">A shared state machine that governs scaffold visibility. In Concrete mode, scaffolds are always at full opacity. In Pictorial mode, opacity = max(0.15, 1 − mastery × 0.3). In Abstract mode, scaffolds are hidden unless the user explicitly requests them.</w:t>
      </w:r>
    </w:p>
    <w:p>
      <w:pPr>
        <w:pStyle w:val="Heading2"/>
        <w:spacing w:after="120" w:before="240"/>
      </w:pPr>
      <w:r>
        <w:t xml:space="preserve">Shared UI Components</w:t>
      </w:r>
    </w:p>
    <w:p>
      <w:pPr>
        <w:spacing w:after="160" w:line="276"/>
      </w:pPr>
      <w:r>
        <w:t xml:space="preserve">The following components are shared across all apps, styled with the common brand system:</w:t>
      </w:r>
    </w:p>
    <w:p>
      <w:pPr>
        <w:spacing w:after="160" w:line="276"/>
      </w:pPr>
      <w:r>
        <w:t xml:space="preserve">Header with logo lockup and controls row. Session score and streak cards. CPA mode toggle (Concrete / Pictorial / Abstract). Mastery dots indicator. Collapsible settings panel. Feedback animations (correct pulse, incorrect shake). Progress view with per-fact mastery grid.</w:t>
      </w:r>
    </w:p>
    <w:p>
      <w:pPr>
        <w:pStyle w:val="Heading2"/>
        <w:spacing w:after="120" w:before="240"/>
      </w:pPr>
      <w:r>
        <w:t xml:space="preserve">App-Specific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b/>
                <w:bCs/>
              </w:rPr>
              <w:t xml:space="preserve">App</w:t>
            </w:r>
          </w:p>
        </w:tc>
        <w:tc>
          <w:tcPr>
            <w:tcW w:type="dxa" w:w="70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b/>
                <w:bCs/>
              </w:rPr>
              <w:t xml:space="preserve">Custom Visual Components</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0"/>
                <w:szCs w:val="20"/>
              </w:rPr>
              <w:t xml:space="preserve">Multiply</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sz w:val="20"/>
                <w:szCs w:val="20"/>
              </w:rPr>
              <w:t xml:space="preserve">DotArray, SkipCount, NumberBond</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0"/>
                <w:szCs w:val="20"/>
              </w:rPr>
              <w:t xml:space="preserve">Add</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sz w:val="20"/>
                <w:szCs w:val="20"/>
              </w:rPr>
              <w:t xml:space="preserve">TenFrame, NumberLine, MakingTenVisual, NumberBond</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0"/>
                <w:szCs w:val="20"/>
              </w:rPr>
              <w:t xml:space="preserve">Fractions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sz w:val="20"/>
                <w:szCs w:val="20"/>
              </w:rPr>
              <w:t xml:space="preserve">BarModel, FractionWall, FractionNumberLine, AreaModel</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0"/>
                <w:szCs w:val="20"/>
              </w:rPr>
              <w:t xml:space="preserve">Place Value</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sz w:val="20"/>
                <w:szCs w:val="20"/>
              </w:rPr>
              <w:t xml:space="preserve">PlaceValueChart, DiscManipulative, ExpandedFormVisual</w:t>
            </w:r>
          </w:p>
        </w:tc>
      </w:tr>
    </w:tbl>
    <w:p>
      <w:r>
        <w:br w:type="page"/>
      </w:r>
    </w:p>
    <w:p>
      <w:pPr>
        <w:pStyle w:val="Heading1"/>
        <w:spacing w:after="120" w:before="360"/>
      </w:pPr>
      <w:r>
        <w:t xml:space="preserve">Revenue Model</w:t>
      </w:r>
    </w:p>
    <w:p>
      <w:pPr>
        <w:pStyle w:val="Heading2"/>
        <w:spacing w:after="120" w:before="240"/>
      </w:pPr>
      <w:r>
        <w:t xml:space="preserve">Pricing Strategy</w:t>
      </w:r>
    </w:p>
    <w:p>
      <w:pPr>
        <w:spacing w:after="160" w:line="276"/>
      </w:pPr>
      <w:r>
        <w:t xml:space="preserve">The recommended model is freemium with in-app purchase, optimized for the App Store Small Business Program (15% commission on revenue under $1M).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b/>
                <w:bCs/>
              </w:rPr>
              <w:t xml:space="preserve">Tier</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b/>
                <w:bCs/>
              </w:rPr>
              <w:t xml:space="preserve">Includes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b/>
                <w:bCs/>
              </w:rPr>
              <w:t xml:space="preserve">Price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0"/>
                <w:szCs w:val="20"/>
              </w:rPr>
              <w:t xml:space="preserve">Free</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One table group / fact set per app</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$0</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0"/>
                <w:szCs w:val="20"/>
              </w:rPr>
              <w:t xml:space="preserve">Single App Unlock</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All content in one app</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$3.99</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0"/>
                <w:szCs w:val="20"/>
              </w:rPr>
              <w:t xml:space="preserve">JackFlash Complete</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All four apps, all content</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$9.99</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0"/>
                <w:szCs w:val="20"/>
              </w:rPr>
              <w:t xml:space="preserve">School License</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Volume purchase, 20+ seats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Contact</w:t>
            </w:r>
          </w:p>
        </w:tc>
      </w:tr>
    </w:tbl>
    <w:p>
      <w:pPr>
        <w:pStyle w:val="Heading2"/>
        <w:spacing w:after="120" w:before="240"/>
      </w:pPr>
      <w:r>
        <w:t xml:space="preserve">Revenue Channels</w:t>
      </w:r>
    </w:p>
    <w:p>
      <w:pPr>
        <w:spacing w:after="160" w:line="276"/>
      </w:pPr>
      <w:r>
        <w:rPr>
          <w:b/>
          <w:bCs/>
        </w:rPr>
        <w:t xml:space="preserve">App Store Direct: </w:t>
      </w:r>
      <w:r>
        <w:t xml:space="preserve">Individual and family purchases via iOS App Store and Google Play. Freemium model with natural upgrade moments (child completes free content and wants more).</w:t>
      </w:r>
    </w:p>
    <w:p>
      <w:pPr>
        <w:spacing w:after="160" w:line="276"/>
      </w:pPr>
      <w:r>
        <w:rPr>
          <w:b/>
          <w:bCs/>
        </w:rPr>
        <w:t xml:space="preserve">Apple Search Ads: </w:t>
      </w:r>
      <w:r>
        <w:t xml:space="preserve">Low-competition keywords in the Singapore math / CPA niche. Target $0.50–$1.50 cost per install.</w:t>
      </w:r>
    </w:p>
    <w:p>
      <w:pPr>
        <w:spacing w:after="160" w:line="276"/>
      </w:pPr>
      <w:r>
        <w:rPr>
          <w:b/>
          <w:bCs/>
        </w:rPr>
        <w:t xml:space="preserve">School Volume Purchasing: </w:t>
      </w:r>
      <w:r>
        <w:t xml:space="preserve">Apple Volume Purchase Program and Google Workspace for Education. Single school adoption = 20–100 licenses. Outreach to Singapore-style math schools and homeschool co-ops.</w:t>
      </w:r>
    </w:p>
    <w:p>
      <w:pPr>
        <w:spacing w:after="160" w:line="276"/>
      </w:pPr>
      <w:r>
        <w:rPr>
          <w:b/>
          <w:bCs/>
        </w:rPr>
        <w:t xml:space="preserve">Curriculum Partnerships: </w:t>
      </w:r>
      <w:r>
        <w:t xml:space="preserve">Potential licensing to publishers producing CPA-aligned curricula. The app family serves as a digital companion to physical textbooks.</w:t>
      </w:r>
    </w:p>
    <w:p>
      <w:r>
        <w:br w:type="page"/>
      </w:r>
    </w:p>
    <w:p>
      <w:pPr>
        <w:pStyle w:val="Heading1"/>
        <w:spacing w:after="120" w:before="360"/>
      </w:pPr>
      <w:r>
        <w:t xml:space="preserve">Development Roadmap</w:t>
      </w:r>
    </w:p>
    <w:p>
      <w:pPr>
        <w:pStyle w:val="Heading2"/>
        <w:spacing w:after="120" w:before="240"/>
      </w:pPr>
      <w:r>
        <w:t xml:space="preserve">Phase 1: Ship Multiply (Current → Q2 2026)</w:t>
      </w:r>
    </w:p>
    <w:p>
      <w:pPr>
        <w:spacing w:after="160" w:line="276"/>
      </w:pPr>
      <w:r>
        <w:t xml:space="preserve">Polish the existing app for store readiness. Add onboarding flow, multiple child profiles, parent progress reports. Wrap with Capacitor for iOS and Android. Submit to both stores. Launch PWA landing page for organic testing.</w:t>
      </w:r>
    </w:p>
    <w:p>
      <w:pPr>
        <w:pStyle w:val="Heading2"/>
        <w:spacing w:after="120" w:before="240"/>
      </w:pPr>
      <w:r>
        <w:t xml:space="preserve">Phase 2: Build Add (Q3 2026)</w:t>
      </w:r>
    </w:p>
    <w:p>
      <w:pPr>
        <w:spacing w:after="160" w:line="276"/>
      </w:pPr>
      <w:r>
        <w:t xml:space="preserve">Develop JackFlash: Add using the shared architecture from Multiply. New components: TenFrame, NumberLine, MakingTenVisual. Fact generator for addition/subtraction to 20. This is the fastest second product because the app shell and mastery engine are identical.</w:t>
      </w:r>
    </w:p>
    <w:p>
      <w:pPr>
        <w:pStyle w:val="Heading2"/>
        <w:spacing w:after="120" w:before="240"/>
      </w:pPr>
      <w:r>
        <w:t xml:space="preserve">Phase 3: Build Fractions (Q4 2026 – Q1 2027)</w:t>
      </w:r>
    </w:p>
    <w:p>
      <w:pPr>
        <w:spacing w:after="160" w:line="276"/>
      </w:pPr>
      <w:r>
        <w:t xml:space="preserve">Develop JackFlash: Fractions. This is the most ambitious build — bar models require a new rendering engine and the fact types are more complex (comparing, equivalent, arithmetic). However, this is the highest-value product in the family due to parental demand.</w:t>
      </w:r>
    </w:p>
    <w:p>
      <w:pPr>
        <w:pStyle w:val="Heading2"/>
        <w:spacing w:after="120" w:before="240"/>
      </w:pPr>
      <w:r>
        <w:t xml:space="preserve">Phase 4: Place Value + Bundle (Q1–Q2 2027)</w:t>
      </w:r>
    </w:p>
    <w:p>
      <w:pPr>
        <w:spacing w:after="160" w:line="276"/>
      </w:pPr>
      <w:r>
        <w:t xml:space="preserve">Develop JackFlash: Place Value. Simpler scope than Fractions. Launch the JackFlash Complete bundle across all stores. Explore school licensing outreach.</w:t>
      </w:r>
    </w:p>
    <w:p>
      <w:pPr>
        <w:pStyle w:val="Heading1"/>
        <w:spacing w:after="120" w:before="360"/>
      </w:pPr>
      <w:r>
        <w:t xml:space="preserve">Competitive Landscape</w:t>
      </w:r>
    </w:p>
    <w:p>
      <w:pPr>
        <w:spacing w:after="160" w:line="276"/>
      </w:pPr>
      <w:r>
        <w:t xml:space="preserve">The multiplication app market is crowded, but almost entirely with abstract-only flashcard apps. The CPA niche is underserved.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b/>
                <w:bCs/>
              </w:rPr>
              <w:t xml:space="preserve">Competitor</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b/>
                <w:bCs/>
              </w:rPr>
              <w:t xml:space="preserve">CPA?</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b/>
                <w:bCs/>
              </w:rPr>
              <w:t xml:space="preserve">Fact Families?</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b/>
                <w:bCs/>
              </w:rPr>
              <w:t xml:space="preserve">Price</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0"/>
                <w:szCs w:val="20"/>
              </w:rPr>
              <w:t xml:space="preserve">Times Tables Rock Stars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No — abstract only</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No — × only</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$2.99/mo</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0"/>
                <w:szCs w:val="20"/>
              </w:rPr>
              <w:t xml:space="preserve">Multiplication Flash Cards (various)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Rarely</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Free–$4.99</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0"/>
                <w:szCs w:val="20"/>
              </w:rPr>
              <w:t xml:space="preserve">Khan Academy Kids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Partial</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Free</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0"/>
                <w:szCs w:val="20"/>
              </w:rPr>
              <w:t xml:space="preserve">JackFlash</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Yes — full CPA</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Yes — core design</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Freemium</w:t>
            </w:r>
          </w:p>
        </w:tc>
      </w:tr>
    </w:tbl>
    <w:p>
      <w:pPr>
        <w:spacing w:after="160" w:before="200"/>
      </w:pPr>
    </w:p>
    <w:p>
      <w:pPr>
        <w:spacing w:after="160" w:line="276"/>
      </w:pPr>
      <w:r>
        <w:t xml:space="preserve">JackFlash’s positioning is clear: it’s the only app family that implements the full CPA progression, teaches operations as fact families from day one, and covers K–5 math fluency under a single brand. The competitive moat is pedagogical depth, not gamification.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6"/>
        <w:szCs w:val="16"/>
      </w:rPr>
      <w:t xml:space="preserve">Page </w:t>
    </w:r>
    <w:r>
      <w:rPr>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AAAAAA"/>
        <w:sz w:val="16"/>
        <w:szCs w:val="16"/>
      </w:rPr>
      <w:t xml:space="preserve">JackFlash Product Family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2026-03-31T17:12:54.653Z</dcterms:created>
  <dcterms:modified xsi:type="dcterms:W3CDTF">2026-03-31T17:12:54.653Z</dcterms:modified>
</cp:coreProperties>
</file>

<file path=docProps/custom.xml><?xml version="1.0" encoding="utf-8"?>
<Properties xmlns="http://schemas.openxmlformats.org/officeDocument/2006/custom-properties" xmlns:vt="http://schemas.openxmlformats.org/officeDocument/2006/docPropsVTypes"/>
</file>