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Georgia" w:hAnsi="Georgia"/>
          <w:b/>
          <w:i/>
          <w:color w:val="1A1A1A"/>
          <w:sz w:val="72"/>
        </w:rPr>
        <w:t>FO</w:t>
      </w:r>
      <w:r>
        <w:rPr>
          <w:rFonts w:ascii="Arial" w:hAnsi="Arial"/>
          <w:b/>
          <w:color w:val="555555"/>
          <w:sz w:val="22"/>
        </w:rPr>
        <w:t xml:space="preserve">  RESEARCH</w:t>
      </w:r>
    </w:p>
    <w:p>
      <w:pPr>
        <w:spacing w:before="120" w:after="120"/>
        <w:pBdr>
          <w:bottom w:val="single" w:sz="12" w:space="1" w:color="333333"/>
        </w:pBdr>
      </w:pPr>
      <w:r>
        <w:rPr>
          <w:rFonts w:ascii="Arial" w:hAnsi="Arial"/>
          <w:b/>
          <w:i w:val="0"/>
          <w:color w:val="1A1A1A"/>
          <w:sz w:val="36"/>
        </w:rPr>
        <w:t>Global AI Governance Discovery Summary</w:t>
      </w:r>
    </w:p>
    <w:p>
      <w:pPr>
        <w:spacing w:before="40" w:after="240" w:line="320" w:lineRule="exact"/>
      </w:pPr>
      <w:r>
        <w:rPr>
          <w:rFonts w:ascii="Arial" w:hAnsi="Arial"/>
          <w:b w:val="0"/>
          <w:i w:val="0"/>
          <w:color w:val="666666"/>
          <w:sz w:val="20"/>
        </w:rPr>
        <w:br/>
      </w:r>
      <w:r>
        <w:rPr>
          <w:rFonts w:ascii="Arial" w:hAnsi="Arial"/>
          <w:b/>
          <w:i w:val="0"/>
          <w:color w:val="666666"/>
          <w:sz w:val="20"/>
        </w:rPr>
        <w:t>Date:</w:t>
      </w:r>
      <w:r>
        <w:rPr>
          <w:rFonts w:ascii="Arial" w:hAnsi="Arial"/>
          <w:b w:val="0"/>
          <w:i w:val="0"/>
          <w:color w:val="666666"/>
          <w:sz w:val="20"/>
        </w:rPr>
        <w:t xml:space="preserve"> February 2, 2026</w:t>
      </w:r>
      <w:r>
        <w:br/>
      </w:r>
      <w:r>
        <w:rPr>
          <w:rFonts w:ascii="Arial" w:hAnsi="Arial"/>
          <w:b w:val="0"/>
          <w:i w:val="0"/>
          <w:color w:val="666666"/>
          <w:sz w:val="20"/>
        </w:rPr>
        <w:br/>
      </w:r>
      <w:r>
        <w:rPr>
          <w:rFonts w:ascii="Arial" w:hAnsi="Arial"/>
          <w:b/>
          <w:i w:val="0"/>
          <w:color w:val="666666"/>
          <w:sz w:val="20"/>
        </w:rPr>
        <w:t>Phase:</w:t>
      </w:r>
      <w:r>
        <w:rPr>
          <w:rFonts w:ascii="Arial" w:hAnsi="Arial"/>
          <w:b w:val="0"/>
          <w:i w:val="0"/>
          <w:color w:val="666666"/>
          <w:sz w:val="20"/>
        </w:rPr>
        <w:t xml:space="preserve"> Discovery Complete</w:t>
      </w:r>
      <w:r>
        <w:br/>
      </w:r>
      <w:r>
        <w:rPr>
          <w:rFonts w:ascii="Arial" w:hAnsi="Arial"/>
          <w:b w:val="0"/>
          <w:i w:val="0"/>
          <w:color w:val="666666"/>
          <w:sz w:val="20"/>
        </w:rPr>
        <w:br/>
      </w:r>
      <w:r>
        <w:rPr>
          <w:rFonts w:ascii="Arial" w:hAnsi="Arial"/>
          <w:b/>
          <w:i w:val="0"/>
          <w:color w:val="666666"/>
          <w:sz w:val="20"/>
        </w:rPr>
        <w:t>Prepared by:</w:t>
      </w:r>
      <w:r>
        <w:rPr>
          <w:rFonts w:ascii="Arial" w:hAnsi="Arial"/>
          <w:b w:val="0"/>
          <w:i w:val="0"/>
          <w:color w:val="666666"/>
          <w:sz w:val="20"/>
        </w:rPr>
        <w:t xml:space="preserve"> AQL Labs / FutureObjects</w:t>
      </w:r>
      <w:r>
        <w:br/>
      </w:r>
      <w:r>
        <w:rPr>
          <w:rFonts w:ascii="Arial" w:hAnsi="Arial"/>
          <w:b w:val="0"/>
          <w:i w:val="0"/>
          <w:color w:val="666666"/>
          <w:sz w:val="20"/>
        </w:rPr>
        <w:br/>
      </w:r>
      <w:r>
        <w:rPr>
          <w:rFonts w:ascii="Arial" w:hAnsi="Arial"/>
          <w:b/>
          <w:i w:val="0"/>
          <w:color w:val="666666"/>
          <w:sz w:val="20"/>
        </w:rPr>
        <w:t>Commissioned by:</w:t>
      </w:r>
      <w:r>
        <w:rPr>
          <w:rFonts w:ascii="Arial" w:hAnsi="Arial"/>
          <w:b w:val="0"/>
          <w:i w:val="0"/>
          <w:color w:val="666666"/>
          <w:sz w:val="20"/>
        </w:rPr>
        <w:t xml:space="preserve"> College Futures Foundation</w:t>
        <w:br/>
      </w:r>
    </w:p>
    <w:p>
      <w:pPr>
        <w:pBdr>
          <w:bottom w:val="single" w:sz="4" w:space="1" w:color="CCCCCC"/>
        </w:pBdr>
        <w:spacing w:before="120" w:after="120"/>
      </w:pPr>
    </w:p>
    <w:p>
      <w:pPr>
        <w:spacing w:before="320" w:after="80"/>
        <w:pBdr>
          <w:bottom w:val="single" w:sz="4" w:space="1" w:color="DDDDDD"/>
        </w:pBdr>
      </w:pPr>
      <w:r>
        <w:rPr>
          <w:rFonts w:ascii="Arial" w:hAnsi="Arial"/>
          <w:b/>
          <w:i w:val="0"/>
          <w:color w:val="333333"/>
          <w:sz w:val="28"/>
        </w:rPr>
        <w:t>Executive Narrative</w:t>
      </w:r>
    </w:p>
    <w:p>
      <w:pPr>
        <w:spacing w:before="60" w:after="60" w:line="320" w:lineRule="exact"/>
      </w:pPr>
      <w:r>
        <w:rPr>
          <w:rFonts w:ascii="Arial" w:hAnsi="Arial"/>
          <w:b w:val="0"/>
          <w:i w:val="0"/>
          <w:sz w:val="22"/>
        </w:rPr>
        <w:t>I tried to cast a large net with this discovery effort, and searched 12 domains of AI governance to identify frameworks relevant to College Futures' Ethical AI Framework for California community colleges. The research reveals a quickly growing global landscape. With over 200 frameworks identified and significant possible gaps:</w:t>
      </w:r>
    </w:p>
    <w:p>
      <w:pPr>
        <w:pBdr>
          <w:bottom w:val="single" w:sz="12" w:space="4" w:color="0066CC"/>
        </w:pBdr>
        <w:spacing w:before="240" w:after="0"/>
      </w:pPr>
    </w:p>
    <w:p>
      <w:pPr>
        <w:spacing w:before="160" w:after="160"/>
        <w:jc w:val="center"/>
      </w:pPr>
      <w:r>
        <w:rPr>
          <w:rFonts w:ascii="Arial" w:hAnsi="Arial"/>
          <w:b/>
          <w:i w:val="0"/>
          <w:color w:val="0066CC"/>
          <w:sz w:val="36"/>
        </w:rPr>
        <w:t>Community colleges remain largely invisible in authoritative AI governance frameworks.</w:t>
      </w:r>
    </w:p>
    <w:p>
      <w:pPr>
        <w:pBdr>
          <w:top w:val="single" w:sz="12" w:space="4" w:color="0066CC"/>
        </w:pBdr>
        <w:spacing w:before="0" w:after="240"/>
      </w:pPr>
    </w:p>
    <w:p>
      <w:pPr>
        <w:spacing w:before="240" w:after="80"/>
      </w:pPr>
      <w:r>
        <w:rPr>
          <w:rFonts w:ascii="Arial" w:hAnsi="Arial"/>
          <w:b/>
          <w:i w:val="0"/>
          <w:color w:val="444444"/>
          <w:sz w:val="24"/>
        </w:rPr>
        <w:t>The Global Picture</w:t>
      </w:r>
    </w:p>
    <w:p>
      <w:pPr>
        <w:spacing w:before="60" w:after="60" w:line="320" w:lineRule="exact"/>
      </w:pPr>
      <w:r>
        <w:rPr>
          <w:rFonts w:ascii="Arial" w:hAnsi="Arial"/>
          <w:b w:val="0"/>
          <w:i w:val="0"/>
          <w:sz w:val="22"/>
        </w:rPr>
        <w:t>AI governance has reached an inflection point. The 2024-2025 period saw an unprecedented wave of binding legislation: Peru became among the first in Latin America to enact a general AI law (Law 31814, July 2023),</w:t>
      </w:r>
      <w:r>
        <w:rPr>
          <w:rFonts w:ascii="Arial" w:hAnsi="Arial"/>
          <w:b w:val="0"/>
          <w:i w:val="0"/>
          <w:color w:val="0066CC"/>
          <w:sz w:val="14"/>
          <w:vertAlign w:val="superscript"/>
        </w:rPr>
        <w:t>[9]</w:t>
      </w:r>
      <w:r>
        <w:rPr>
          <w:rFonts w:ascii="Arial" w:hAnsi="Arial"/>
          <w:b w:val="0"/>
          <w:i w:val="0"/>
          <w:sz w:val="22"/>
        </w:rPr>
        <w:t xml:space="preserve"> South Korea passed its AI Basic Act in December 2024,</w:t>
      </w:r>
      <w:r>
        <w:rPr>
          <w:rFonts w:ascii="Arial" w:hAnsi="Arial"/>
          <w:b w:val="0"/>
          <w:i w:val="0"/>
          <w:color w:val="0066CC"/>
          <w:sz w:val="14"/>
          <w:vertAlign w:val="superscript"/>
        </w:rPr>
        <w:t>[11]</w:t>
      </w:r>
      <w:r>
        <w:rPr>
          <w:rFonts w:ascii="Arial" w:hAnsi="Arial"/>
          <w:b w:val="0"/>
          <w:i w:val="0"/>
          <w:sz w:val="22"/>
        </w:rPr>
        <w:t xml:space="preserve"> Japan enacted the Act on Promotion of Research and Development of AI-Related Technologies in May 2025,</w:t>
      </w:r>
      <w:r>
        <w:rPr>
          <w:rFonts w:ascii="Arial" w:hAnsi="Arial"/>
          <w:b w:val="0"/>
          <w:i w:val="0"/>
          <w:color w:val="0066CC"/>
          <w:sz w:val="14"/>
          <w:vertAlign w:val="superscript"/>
        </w:rPr>
        <w:t>[10]</w:t>
      </w:r>
      <w:r>
        <w:rPr>
          <w:rFonts w:ascii="Arial" w:hAnsi="Arial"/>
          <w:b w:val="0"/>
          <w:i w:val="0"/>
          <w:color w:val="0066CC"/>
          <w:sz w:val="14"/>
          <w:vertAlign w:val="superscript"/>
        </w:rPr>
        <w:t>[12]</w:t>
      </w:r>
      <w:r>
        <w:rPr>
          <w:rFonts w:ascii="Arial" w:hAnsi="Arial"/>
          <w:b w:val="0"/>
          <w:i w:val="0"/>
          <w:sz w:val="22"/>
        </w:rPr>
        <w:t xml:space="preserve"> Taiwan passed its AI Basic Act in December 2025,</w:t>
      </w:r>
      <w:r>
        <w:rPr>
          <w:rFonts w:ascii="Arial" w:hAnsi="Arial"/>
          <w:b w:val="0"/>
          <w:i w:val="0"/>
          <w:color w:val="0066CC"/>
          <w:sz w:val="14"/>
          <w:vertAlign w:val="superscript"/>
        </w:rPr>
        <w:t>[13]</w:t>
      </w:r>
      <w:r>
        <w:rPr>
          <w:rFonts w:ascii="Arial" w:hAnsi="Arial"/>
          <w:b w:val="0"/>
          <w:i w:val="0"/>
          <w:color w:val="0066CC"/>
          <w:sz w:val="14"/>
          <w:vertAlign w:val="superscript"/>
        </w:rPr>
        <w:t>[14]</w:t>
      </w:r>
      <w:r>
        <w:rPr>
          <w:rFonts w:ascii="Arial" w:hAnsi="Arial"/>
          <w:b w:val="0"/>
          <w:i w:val="0"/>
          <w:sz w:val="22"/>
        </w:rPr>
        <w:t xml:space="preserve"> and Brazil's Marco Legal advanced through Congress. The EU AI Act entered into force on August 1, 2024, with obligations phased in through 2027,</w:t>
      </w:r>
      <w:r>
        <w:rPr>
          <w:rFonts w:ascii="Arial" w:hAnsi="Arial"/>
          <w:b w:val="0"/>
          <w:i w:val="0"/>
          <w:color w:val="0066CC"/>
          <w:sz w:val="14"/>
          <w:vertAlign w:val="superscript"/>
        </w:rPr>
        <w:t>[8]</w:t>
      </w:r>
      <w:r>
        <w:rPr>
          <w:rFonts w:ascii="Arial" w:hAnsi="Arial"/>
          <w:b w:val="0"/>
          <w:i w:val="0"/>
          <w:sz w:val="22"/>
        </w:rPr>
        <w:t xml:space="preserve"> triggering ripple effects globally as regulators looked to Brussels for precedent.</w:t>
      </w:r>
    </w:p>
    <w:p>
      <w:pPr>
        <w:spacing w:before="60" w:after="60" w:line="320" w:lineRule="exact"/>
      </w:pPr>
      <w:r>
        <w:rPr>
          <w:rFonts w:ascii="Arial" w:hAnsi="Arial"/>
          <w:b w:val="0"/>
          <w:i w:val="0"/>
          <w:sz w:val="22"/>
        </w:rPr>
        <w:t>Regional coordination has accelerated. Africa adopted both the AU Continental AI Strategy</w:t>
      </w:r>
      <w:r>
        <w:rPr>
          <w:rFonts w:ascii="Arial" w:hAnsi="Arial"/>
          <w:b w:val="0"/>
          <w:i w:val="0"/>
          <w:color w:val="0066CC"/>
          <w:sz w:val="14"/>
          <w:vertAlign w:val="superscript"/>
        </w:rPr>
        <w:t>[4]</w:t>
      </w:r>
      <w:r>
        <w:rPr>
          <w:rFonts w:ascii="Arial" w:hAnsi="Arial"/>
          <w:b w:val="0"/>
          <w:i w:val="0"/>
          <w:sz w:val="22"/>
        </w:rPr>
        <w:t xml:space="preserve"> and the Africa Declaration on AI (signed in Kigali), establishing the Africa AI Council through Smart Africa</w:t>
      </w:r>
      <w:r>
        <w:rPr>
          <w:rFonts w:ascii="Arial" w:hAnsi="Arial"/>
          <w:b w:val="0"/>
          <w:i w:val="0"/>
          <w:color w:val="0066CC"/>
          <w:sz w:val="14"/>
          <w:vertAlign w:val="superscript"/>
        </w:rPr>
        <w:t>[18]</w:t>
      </w:r>
      <w:r>
        <w:rPr>
          <w:rFonts w:ascii="Arial" w:hAnsi="Arial"/>
          <w:b w:val="0"/>
          <w:i w:val="0"/>
          <w:sz w:val="22"/>
        </w:rPr>
        <w:t xml:space="preserve"> with ambitious financing targets, though fund capitalization and governance structures remain under development.</w:t>
      </w:r>
      <w:r>
        <w:rPr>
          <w:rFonts w:ascii="Arial" w:hAnsi="Arial"/>
          <w:b w:val="0"/>
          <w:i w:val="0"/>
          <w:color w:val="0066CC"/>
          <w:sz w:val="14"/>
          <w:vertAlign w:val="superscript"/>
        </w:rPr>
        <w:t>[17]</w:t>
      </w:r>
      <w:r>
        <w:rPr>
          <w:rFonts w:ascii="Arial" w:hAnsi="Arial"/>
          <w:b w:val="0"/>
          <w:i w:val="0"/>
          <w:sz w:val="22"/>
        </w:rPr>
        <w:t xml:space="preserve"> Latin America built on the 2023 Santiago Declaration with the Montevideo Roadmap, creating a forum for ongoing ministerial coordination.</w:t>
      </w:r>
      <w:r>
        <w:rPr>
          <w:rFonts w:ascii="Arial" w:hAnsi="Arial"/>
          <w:b w:val="0"/>
          <w:i w:val="0"/>
          <w:color w:val="0066CC"/>
          <w:sz w:val="14"/>
          <w:vertAlign w:val="superscript"/>
        </w:rPr>
        <w:t>[16]</w:t>
      </w:r>
      <w:r>
        <w:rPr>
          <w:rFonts w:ascii="Arial" w:hAnsi="Arial"/>
          <w:b w:val="0"/>
          <w:i w:val="0"/>
          <w:sz w:val="22"/>
        </w:rPr>
        <w:t xml:space="preserve"> ASEAN expanded its 2024 AI governance guide with GenAI-specific provisions in January 2025.</w:t>
      </w:r>
      <w:r>
        <w:rPr>
          <w:rFonts w:ascii="Arial" w:hAnsi="Arial"/>
          <w:b w:val="0"/>
          <w:i w:val="0"/>
          <w:color w:val="0066CC"/>
          <w:sz w:val="14"/>
          <w:vertAlign w:val="superscript"/>
        </w:rPr>
        <w:t>[3]</w:t>
      </w:r>
      <w:r>
        <w:rPr>
          <w:rFonts w:ascii="Arial" w:hAnsi="Arial"/>
          <w:b w:val="0"/>
          <w:i w:val="0"/>
          <w:color w:val="0066CC"/>
          <w:sz w:val="14"/>
          <w:vertAlign w:val="superscript"/>
        </w:rPr>
        <w:t>[15]</w:t>
      </w:r>
    </w:p>
    <w:p>
      <w:pPr>
        <w:spacing w:before="240" w:after="80"/>
      </w:pPr>
      <w:r>
        <w:rPr>
          <w:rFonts w:ascii="Arial" w:hAnsi="Arial"/>
          <w:b/>
          <w:i w:val="0"/>
          <w:color w:val="444444"/>
          <w:sz w:val="24"/>
        </w:rPr>
        <w:t>What's Missing: The Education Gap</w:t>
      </w:r>
    </w:p>
    <w:p>
      <w:pPr>
        <w:spacing w:before="60" w:after="60" w:line="320" w:lineRule="exact"/>
      </w:pPr>
      <w:r>
        <w:rPr>
          <w:rFonts w:ascii="Arial" w:hAnsi="Arial"/>
          <w:b w:val="0"/>
          <w:i w:val="0"/>
          <w:sz w:val="22"/>
        </w:rPr>
        <w:t>Despite this activity, education remains peripheral in global AI governance. While the EU AI Act does classify education as a high-risk domain under Annex III (e.g., AI used for exam scoring or determining access to education),</w:t>
      </w:r>
      <w:r>
        <w:rPr>
          <w:rFonts w:ascii="Arial" w:hAnsi="Arial"/>
          <w:b w:val="0"/>
          <w:i w:val="0"/>
          <w:color w:val="0066CC"/>
          <w:sz w:val="14"/>
          <w:vertAlign w:val="superscript"/>
        </w:rPr>
        <w:t>[8]</w:t>
      </w:r>
      <w:r>
        <w:rPr>
          <w:rFonts w:ascii="Arial" w:hAnsi="Arial"/>
          <w:b w:val="0"/>
          <w:i w:val="0"/>
          <w:sz w:val="22"/>
        </w:rPr>
        <w:t xml:space="preserve"> it provides minimal implementation guidance for educational institutions. National strategies acknowledge AI's educational potential but rarely provide operational frameworks. The frameworks that do address education—UNESCO's competency frameworks, TeachAI's principles, EDUCAUSE's resources—focus primarily on K-12 or four-year institutions.</w:t>
      </w:r>
    </w:p>
    <w:tbl>
      <w:tblPr>
        <w:tblW w:type="auto" w:w="0"/>
        <w:jc w:val="center"/>
        <w:tblLook w:firstColumn="1" w:firstRow="1" w:lastColumn="0" w:lastRow="0" w:noHBand="0" w:noVBand="1" w:val="04A0"/>
        <w:tblW w:w="5000" w:type="pct"/>
      </w:tblPr>
      <w:tblGrid>
        <w:gridCol w:w="9360"/>
      </w:tblGrid>
      <w:tr>
        <w:tc>
          <w:tcPr>
            <w:tcW w:type="dxa" w:w="9360"/>
            <w:shd w:fill="F8D7DA" w:val="clear"/>
            <w:tcBorders>
              <w:top w:sz="4" w:val="single" w:color="F8D7DA"/>
              <w:bottom w:sz="4" w:val="single" w:color="F8D7DA"/>
              <w:left w:sz="24" w:val="single" w:color="CC0000"/>
              <w:right w:sz="4" w:val="single" w:color="F8D7DA"/>
            </w:tcBorders>
          </w:tcPr>
          <w:p>
            <w:r>
              <w:rPr>
                <w:rFonts w:ascii="Arial" w:hAnsi="Arial"/>
                <w:b/>
                <w:i w:val="0"/>
                <w:sz w:val="22"/>
              </w:rPr>
              <w:t>Community colleges are essentially absent.</w:t>
            </w:r>
          </w:p>
          <w:p>
            <w:pPr>
              <w:spacing w:before="40" w:after="40" w:line="320" w:lineRule="exact"/>
            </w:pPr>
            <w:r>
              <w:rPr>
                <w:rFonts w:ascii="Arial" w:hAnsi="Arial"/>
                <w:b w:val="0"/>
                <w:i w:val="0"/>
                <w:sz w:val="22"/>
              </w:rPr>
              <w:t xml:space="preserve"> Of the 224 frameworks reviewed, our analysis identified only </w:t>
            </w:r>
            <w:r>
              <w:rPr>
                <w:rFonts w:ascii="Arial" w:hAnsi="Arial"/>
                <w:b/>
                <w:i w:val="0"/>
                <w:sz w:val="22"/>
              </w:rPr>
              <w:t>TWO</w:t>
            </w:r>
          </w:p>
          <w:p>
            <w:pPr>
              <w:spacing w:before="40" w:after="40" w:line="320" w:lineRule="exact"/>
            </w:pPr>
            <w:r>
              <w:rPr>
                <w:rFonts w:ascii="Arial" w:hAnsi="Arial"/>
                <w:b w:val="0"/>
                <w:i w:val="0"/>
                <w:sz w:val="22"/>
              </w:rPr>
              <w:t xml:space="preserve"> that directly address community colleges: the </w:t>
            </w:r>
            <w:r>
              <w:rPr>
                <w:rFonts w:ascii="Arial" w:hAnsi="Arial"/>
                <w:b w:val="0"/>
                <w:i w:val="0"/>
                <w:sz w:val="22"/>
              </w:rPr>
              <w:t>Academic Senate for California Community Colleges (ASCCC) policy framework</w:t>
            </w:r>
            <w:r>
              <w:rPr>
                <w:rFonts w:ascii="Arial" w:hAnsi="Arial"/>
                <w:b w:val="0"/>
                <w:i w:val="0"/>
                <w:color w:val="0066CC"/>
                <w:sz w:val="22"/>
              </w:rPr>
              <w:t>[19]</w:t>
            </w:r>
          </w:p>
          <w:p>
            <w:pPr>
              <w:spacing w:before="40" w:after="40" w:line="320" w:lineRule="exact"/>
            </w:pPr>
            <w:r>
              <w:rPr>
                <w:rFonts w:ascii="Arial" w:hAnsi="Arial"/>
                <w:b w:val="0"/>
                <w:i w:val="0"/>
                <w:sz w:val="22"/>
              </w:rPr>
              <w:t xml:space="preserve"> and the </w:t>
            </w:r>
            <w:r>
              <w:rPr>
                <w:rFonts w:ascii="Arial" w:hAnsi="Arial"/>
                <w:b w:val="0"/>
                <w:i w:val="0"/>
                <w:sz w:val="22"/>
              </w:rPr>
              <w:t>Achieving the Dream network's AI Task Force report</w:t>
            </w:r>
          </w:p>
          <w:p>
            <w:pPr>
              <w:spacing w:before="40" w:after="40" w:line="320" w:lineRule="exact"/>
            </w:pPr>
            <w:r>
              <w:rPr>
                <w:rFonts w:ascii="Arial" w:hAnsi="Arial"/>
                <w:b w:val="0"/>
                <w:i w:val="0"/>
                <w:sz w:val="22"/>
              </w:rPr>
              <w:t>.</w:t>
            </w:r>
            <w:r>
              <w:rPr>
                <w:rFonts w:ascii="Arial" w:hAnsi="Arial"/>
                <w:b w:val="0"/>
                <w:i w:val="0"/>
                <w:color w:val="0066CC"/>
                <w:sz w:val="22"/>
              </w:rPr>
              <w:t>[1]</w:t>
            </w:r>
          </w:p>
          <w:p>
            <w:pPr>
              <w:spacing w:before="40" w:after="40" w:line="320" w:lineRule="exact"/>
            </w:pPr>
            <w:r>
              <w:rPr>
                <w:rFonts w:ascii="Arial" w:hAnsi="Arial"/>
                <w:b w:val="0"/>
                <w:i w:val="0"/>
                <w:sz w:val="22"/>
              </w:rPr>
              <w:t xml:space="preserve"> This is an initial analysis—the claim of exclusivity cannot be conclusively verified without exhaustive review of all 224 frameworks—but if confirmed it is a remarkable oversight given that community colleges serve approximately 43.7% of all US undergraduates (2020-21),</w:t>
            </w:r>
            <w:r>
              <w:rPr>
                <w:rFonts w:ascii="Arial" w:hAnsi="Arial"/>
                <w:b w:val="0"/>
                <w:i w:val="0"/>
                <w:color w:val="0066CC"/>
                <w:sz w:val="22"/>
              </w:rPr>
              <w:t>[20]</w:t>
            </w:r>
          </w:p>
          <w:p>
            <w:pPr>
              <w:spacing w:before="40" w:after="40" w:line="320" w:lineRule="exact"/>
            </w:pPr>
            <w:r>
              <w:rPr>
                <w:rFonts w:ascii="Arial" w:hAnsi="Arial"/>
                <w:b w:val="0"/>
                <w:i w:val="0"/>
                <w:sz w:val="22"/>
              </w:rPr>
              <w:t xml:space="preserve"> disproportionately serve historically marginalized populations, and are the primary pipeline for workforce training that AI is transforming.</w:t>
              <w:br/>
            </w:r>
          </w:p>
        </w:tc>
      </w:tr>
    </w:tbl>
    <w:p>
      <w:pPr>
        <w:spacing w:before="240" w:after="80"/>
      </w:pPr>
      <w:r>
        <w:rPr>
          <w:rFonts w:ascii="Arial" w:hAnsi="Arial"/>
          <w:b/>
          <w:i w:val="0"/>
          <w:color w:val="444444"/>
          <w:sz w:val="24"/>
        </w:rPr>
        <w:t>Potential Bright Spots for Adaptation</w:t>
      </w:r>
    </w:p>
    <w:p>
      <w:pPr>
        <w:spacing w:before="60" w:after="60" w:line="320" w:lineRule="exact"/>
      </w:pPr>
      <w:r>
        <w:rPr>
          <w:rFonts w:ascii="Arial" w:hAnsi="Arial"/>
          <w:b w:val="0"/>
          <w:i w:val="0"/>
          <w:sz w:val="22"/>
        </w:rPr>
        <w:t>Several frameworks, while not education-specific, seem to offer models directly adaptable to the CC context:</w:t>
      </w:r>
    </w:p>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28A745"/>
              <w:bottom w:sz="4" w:val="single" w:color="28A745"/>
              <w:left w:sz="24" w:val="single" w:color="28A745"/>
              <w:right w:sz="4" w:val="single" w:color="28A745"/>
            </w:tcBorders>
          </w:tcPr>
          <w:p>
            <w:hyperlink r:id="rId9">
              <w:r>
                <w:rPr>
                  <w:rStyle w:val="Hyperlink"/>
                  <w:rFonts w:ascii="Arial" w:hAnsi="Arial"/>
                  <w:color w:val="0066CC"/>
                  <w:u w:val="single"/>
                </w:rPr>
                <w:t xml:space="preserve">The AI Handbook for Local Government</w:t>
              </w:r>
            </w:hyperlink>
          </w:p>
          <w:p>
            <w:pPr>
              <w:spacing w:before="40" w:after="40" w:line="320" w:lineRule="exact"/>
            </w:pPr>
            <w:r>
              <w:rPr>
                <w:rFonts w:ascii="Arial" w:hAnsi="Arial"/>
                <w:b w:val="0"/>
                <w:i w:val="0"/>
                <w:sz w:val="22"/>
              </w:rPr>
              <w:t xml:space="preserve"> (University of Michigan) was designed explicitly for resource-constrained public institutions without dedicated compliance teams—a description that fits most community colleges precisely.</w:t>
              <w:br/>
            </w:r>
          </w:p>
        </w:tc>
      </w:tr>
    </w:tbl>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28A745"/>
              <w:bottom w:sz="4" w:val="single" w:color="28A745"/>
              <w:left w:sz="24" w:val="single" w:color="28A745"/>
              <w:right w:sz="4" w:val="single" w:color="28A745"/>
            </w:tcBorders>
          </w:tcPr>
          <w:p>
            <w:hyperlink r:id="rId10">
              <w:r>
                <w:rPr>
                  <w:rStyle w:val="Hyperlink"/>
                  <w:rFonts w:ascii="Arial" w:hAnsi="Arial"/>
                  <w:color w:val="0066CC"/>
                  <w:u w:val="single"/>
                </w:rPr>
                <w:t xml:space="preserve">IEEE P7004</w:t>
              </w:r>
            </w:hyperlink>
          </w:p>
          <w:p>
            <w:pPr>
              <w:spacing w:before="40" w:after="40" w:line="320" w:lineRule="exact"/>
            </w:pPr>
            <w:r>
              <w:rPr>
                <w:rFonts w:ascii="Arial" w:hAnsi="Arial"/>
                <w:b w:val="0"/>
                <w:i w:val="0"/>
                <w:sz w:val="22"/>
              </w:rPr>
              <w:t xml:space="preserve"> is the only international standards project specifically addressing child and student data governance.</w:t>
            </w:r>
            <w:r>
              <w:rPr>
                <w:rFonts w:ascii="Arial" w:hAnsi="Arial"/>
                <w:b w:val="0"/>
                <w:i w:val="0"/>
                <w:color w:val="0066CC"/>
                <w:sz w:val="22"/>
              </w:rPr>
              <w:t>[6]</w:t>
            </w:r>
          </w:p>
          <w:p>
            <w:pPr>
              <w:spacing w:before="40" w:after="40" w:line="320" w:lineRule="exact"/>
            </w:pPr>
            <w:r>
              <w:rPr>
                <w:rFonts w:ascii="Arial" w:hAnsi="Arial"/>
                <w:b w:val="0"/>
                <w:i w:val="0"/>
                <w:sz w:val="22"/>
              </w:rPr>
              <w:t xml:space="preserve"> Currently an active draft (not yet a published standard), it is essential reading for any educational AI framework.</w:t>
              <w:br/>
            </w:r>
          </w:p>
        </w:tc>
      </w:tr>
    </w:tbl>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28A745"/>
              <w:bottom w:sz="4" w:val="single" w:color="28A745"/>
              <w:left w:sz="24" w:val="single" w:color="28A745"/>
              <w:right w:sz="4" w:val="single" w:color="28A745"/>
            </w:tcBorders>
          </w:tcPr>
          <w:p>
            <w:hyperlink r:id="rId11">
              <w:r>
                <w:rPr>
                  <w:rStyle w:val="Hyperlink"/>
                  <w:rFonts w:ascii="Arial" w:hAnsi="Arial"/>
                  <w:color w:val="0066CC"/>
                  <w:u w:val="single"/>
                </w:rPr>
                <w:t xml:space="preserve">The NAIC Model Bulletin on AI</w:t>
              </w:r>
            </w:hyperlink>
          </w:p>
          <w:p>
            <w:pPr>
              <w:spacing w:before="40" w:after="40" w:line="320" w:lineRule="exact"/>
            </w:pPr>
            <w:r>
              <w:rPr>
                <w:rFonts w:ascii="Arial" w:hAnsi="Arial"/>
                <w:b w:val="0"/>
                <w:i w:val="0"/>
                <w:sz w:val="22"/>
              </w:rPr>
              <w:t xml:space="preserve"> for insurers provides a remarkably detailed governance template—requiring written AI programs, cross-functional accountability structures, and documentation standards—that translates well to institutional AI policy despite its insurance focus.</w:t>
            </w:r>
            <w:r>
              <w:rPr>
                <w:rFonts w:ascii="Arial" w:hAnsi="Arial"/>
                <w:b w:val="0"/>
                <w:i w:val="0"/>
                <w:color w:val="0066CC"/>
                <w:sz w:val="22"/>
              </w:rPr>
              <w:t>[2]</w:t>
            </w:r>
          </w:p>
        </w:tc>
      </w:tr>
    </w:tbl>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28A745"/>
              <w:bottom w:sz="4" w:val="single" w:color="28A745"/>
              <w:left w:sz="24" w:val="single" w:color="28A745"/>
              <w:right w:sz="4" w:val="single" w:color="28A745"/>
            </w:tcBorders>
          </w:tcPr>
          <w:p>
            <w:hyperlink r:id="rId12">
              <w:r>
                <w:rPr>
                  <w:rStyle w:val="Hyperlink"/>
                  <w:rFonts w:ascii="Arial" w:hAnsi="Arial"/>
                  <w:color w:val="0066CC"/>
                  <w:u w:val="single"/>
                </w:rPr>
                <w:t xml:space="preserve">OMB M-25-21</w:t>
              </w:r>
            </w:hyperlink>
          </w:p>
          <w:p>
            <w:pPr>
              <w:spacing w:before="40" w:after="40" w:line="320" w:lineRule="exact"/>
            </w:pPr>
            <w:r>
              <w:rPr>
                <w:rFonts w:ascii="Arial" w:hAnsi="Arial"/>
                <w:b w:val="0"/>
                <w:i w:val="0"/>
                <w:sz w:val="22"/>
              </w:rPr>
              <w:t>, the current federal AI policy, explicitly lists "access to education" as a "high-impact AI use" alongside healthcare, housing, and employment.</w:t>
            </w:r>
            <w:r>
              <w:rPr>
                <w:rFonts w:ascii="Arial" w:hAnsi="Arial"/>
                <w:b w:val="0"/>
                <w:i w:val="0"/>
                <w:color w:val="0066CC"/>
                <w:sz w:val="22"/>
              </w:rPr>
              <w:t>[5]</w:t>
            </w:r>
          </w:p>
          <w:p>
            <w:pPr>
              <w:spacing w:before="40" w:after="40" w:line="320" w:lineRule="exact"/>
            </w:pPr>
            <w:r>
              <w:rPr>
                <w:rFonts w:ascii="Arial" w:hAnsi="Arial"/>
                <w:b w:val="0"/>
                <w:i w:val="0"/>
                <w:sz w:val="22"/>
              </w:rPr>
              <w:t xml:space="preserve"> This creates potential compliance implications for federally-funded institutions.</w:t>
              <w:br/>
            </w:r>
          </w:p>
        </w:tc>
      </w:tr>
    </w:tbl>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28A745"/>
              <w:bottom w:sz="4" w:val="single" w:color="28A745"/>
              <w:left w:sz="24" w:val="single" w:color="28A745"/>
              <w:right w:sz="4" w:val="single" w:color="28A745"/>
            </w:tcBorders>
          </w:tcPr>
          <w:p>
            <w:hyperlink r:id="rId13">
              <w:r>
                <w:rPr>
                  <w:rStyle w:val="Hyperlink"/>
                  <w:rFonts w:ascii="Arial" w:hAnsi="Arial"/>
                  <w:color w:val="0066CC"/>
                  <w:u w:val="single"/>
                </w:rPr>
                <w:t xml:space="preserve">The Ethical Framework for AI in Education</w:t>
              </w:r>
            </w:hyperlink>
          </w:p>
          <w:p>
            <w:pPr>
              <w:spacing w:before="40" w:after="40" w:line="320" w:lineRule="exact"/>
            </w:pPr>
            <w:r>
              <w:rPr>
                <w:rFonts w:ascii="Arial" w:hAnsi="Arial"/>
                <w:b w:val="0"/>
                <w:i w:val="0"/>
                <w:sz w:val="22"/>
              </w:rPr>
              <w:t xml:space="preserve"> (Institute for Ethical AI in Education, University of Buckingham) is the only procurement-focused framework in the inventory. Its nine requirements and vendor evaluation checklist provide an immediately actionable tool for CC technology selection committees. Adopted by Khan Academy and licensed CC BY-NC 4.0 for institutional adaptation.</w:t>
              <w:br/>
            </w:r>
          </w:p>
        </w:tc>
      </w:tr>
    </w:tbl>
    <w:p>
      <w:pPr>
        <w:spacing w:before="240" w:after="80"/>
      </w:pPr>
      <w:r>
        <w:rPr>
          <w:rFonts w:ascii="Arial" w:hAnsi="Arial"/>
          <w:b/>
          <w:i w:val="0"/>
          <w:color w:val="444444"/>
          <w:sz w:val="24"/>
        </w:rPr>
        <w:t>The Frontier: Agentic AI</w:t>
      </w:r>
    </w:p>
    <w:p>
      <w:pPr>
        <w:spacing w:before="60" w:after="60" w:line="320" w:lineRule="exact"/>
      </w:pPr>
      <w:r>
        <w:rPr>
          <w:rFonts w:ascii="Arial" w:hAnsi="Arial"/>
          <w:b w:val="0"/>
          <w:i w:val="0"/>
          <w:sz w:val="22"/>
        </w:rPr>
        <w:t xml:space="preserve">Maybe the most significant for forward-looking governance is the emergence of frameworks for agentic AI: systems that can autonomously pursue goals, make decisions, and take actions. Singapore's </w:t>
      </w:r>
      <w:hyperlink r:id="rId14">
        <w:r>
          <w:rPr>
            <w:rStyle w:val="Hyperlink"/>
            <w:rFonts w:ascii="Arial" w:hAnsi="Arial"/>
            <w:color w:val="0066CC"/>
            <w:u w:val="single"/>
          </w:rPr>
          <w:t xml:space="preserve">CSA published a draft addendum on securing agentic AI systems</w:t>
        </w:r>
      </w:hyperlink>
      <w:r>
        <w:rPr>
          <w:rFonts w:ascii="Arial" w:hAnsi="Arial"/>
          <w:b w:val="0"/>
          <w:i w:val="0"/>
          <w:sz w:val="22"/>
        </w:rPr>
        <w:t xml:space="preserve"> for public consultation in October 2025,</w:t>
      </w:r>
      <w:r>
        <w:rPr>
          <w:rFonts w:ascii="Arial" w:hAnsi="Arial"/>
          <w:b w:val="0"/>
          <w:i w:val="0"/>
          <w:color w:val="0066CC"/>
          <w:sz w:val="14"/>
          <w:vertAlign w:val="superscript"/>
        </w:rPr>
        <w:t>[21]</w:t>
      </w:r>
      <w:r>
        <w:rPr>
          <w:rFonts w:ascii="Arial" w:hAnsi="Arial"/>
          <w:b w:val="0"/>
          <w:i w:val="0"/>
          <w:sz w:val="22"/>
        </w:rPr>
        <w:t xml:space="preserve"> and </w:t>
      </w:r>
      <w:hyperlink r:id="rId15">
        <w:r>
          <w:rPr>
            <w:rStyle w:val="Hyperlink"/>
            <w:rFonts w:ascii="Arial" w:hAnsi="Arial"/>
            <w:color w:val="0066CC"/>
            <w:u w:val="single"/>
          </w:rPr>
          <w:t xml:space="preserve">IMDA launched the Model AI Governance Framework for Agentic AI</w:t>
        </w:r>
      </w:hyperlink>
      <w:r>
        <w:rPr>
          <w:rFonts w:ascii="Arial" w:hAnsi="Arial"/>
          <w:b w:val="0"/>
          <w:i w:val="0"/>
          <w:sz w:val="22"/>
        </w:rPr>
        <w:t xml:space="preserve"> in January 2026</w:t>
      </w:r>
      <w:r>
        <w:rPr>
          <w:rFonts w:ascii="Arial" w:hAnsi="Arial"/>
          <w:b w:val="0"/>
          <w:i w:val="0"/>
          <w:color w:val="0066CC"/>
          <w:sz w:val="14"/>
          <w:vertAlign w:val="superscript"/>
        </w:rPr>
        <w:t>[22]</w:t>
      </w:r>
      <w:r>
        <w:rPr>
          <w:rFonts w:ascii="Arial" w:hAnsi="Arial"/>
          <w:b w:val="0"/>
          <w:i w:val="0"/>
          <w:sz w:val="22"/>
        </w:rPr>
        <w:t xml:space="preserve">—together representing the first major government attempts to govern these systems. The newly-formed </w:t>
      </w:r>
      <w:hyperlink r:id="rId16">
        <w:r>
          <w:rPr>
            <w:rStyle w:val="Hyperlink"/>
            <w:rFonts w:ascii="Arial" w:hAnsi="Arial"/>
            <w:color w:val="0066CC"/>
            <w:u w:val="single"/>
          </w:rPr>
          <w:t xml:space="preserve">Agentic AI Foundation under the Linux Foundation</w:t>
        </w:r>
      </w:hyperlink>
      <w:r>
        <w:rPr>
          <w:rFonts w:ascii="Arial" w:hAnsi="Arial"/>
          <w:b w:val="0"/>
          <w:i w:val="0"/>
          <w:sz w:val="22"/>
        </w:rPr>
        <w:t>, with backing from Anthropic, OpenAI, and others, is establishing infrastructure standards through the Model Context Protocol.</w:t>
      </w:r>
      <w:r>
        <w:rPr>
          <w:rFonts w:ascii="Arial" w:hAnsi="Arial"/>
          <w:b w:val="0"/>
          <w:i w:val="0"/>
          <w:color w:val="0066CC"/>
          <w:sz w:val="14"/>
          <w:vertAlign w:val="superscript"/>
        </w:rPr>
        <w:t>[23]</w:t>
      </w:r>
    </w:p>
    <w:tbl>
      <w:tblPr>
        <w:tblW w:type="auto" w:w="0"/>
        <w:jc w:val="center"/>
        <w:tblLook w:firstColumn="1" w:firstRow="1" w:lastColumn="0" w:lastRow="0" w:noHBand="0" w:noVBand="1" w:val="04A0"/>
        <w:tblW w:w="5000" w:type="pct"/>
      </w:tblPr>
      <w:tblGrid>
        <w:gridCol w:w="9360"/>
      </w:tblGrid>
      <w:tr>
        <w:tc>
          <w:tcPr>
            <w:tcW w:type="dxa" w:w="9360"/>
            <w:shd w:fill="E7F3FF" w:val="clear"/>
            <w:tcBorders>
              <w:top w:sz="4" w:val="single" w:color="E7F3FF"/>
              <w:bottom w:sz="4" w:val="single" w:color="E7F3FF"/>
              <w:left w:sz="24" w:val="single" w:color="0066CC"/>
              <w:right w:sz="4" w:val="single" w:color="E7F3FF"/>
            </w:tcBorders>
          </w:tcPr>
          <w:p>
            <w:r>
              <w:rPr>
                <w:rFonts w:ascii="Arial" w:hAnsi="Arial"/>
                <w:b/>
                <w:i w:val="0"/>
                <w:sz w:val="22"/>
              </w:rPr>
              <w:t>This matters for community colleges</w:t>
            </w:r>
          </w:p>
          <w:p>
            <w:pPr>
              <w:spacing w:before="40" w:after="40" w:line="320" w:lineRule="exact"/>
            </w:pPr>
            <w:r>
              <w:rPr>
                <w:rFonts w:ascii="Arial" w:hAnsi="Arial"/>
                <w:b w:val="0"/>
                <w:i w:val="0"/>
                <w:sz w:val="22"/>
              </w:rPr>
              <w:t xml:space="preserve"> because agentic AI is coming to education rapidly. AI tutoring agents, advising chatbots, and automated student support systems are no longer speculative—they're being deployed. Yet no framework addresses agentic AI in educational contexts. CC institutions adopting these tools today are essentially governing in a vacuum.</w:t>
              <w:br/>
            </w:r>
          </w:p>
        </w:tc>
      </w:tr>
    </w:tbl>
    <w:p>
      <w:pPr>
        <w:spacing w:before="240" w:after="80"/>
      </w:pPr>
      <w:r>
        <w:rPr>
          <w:rFonts w:ascii="Arial" w:hAnsi="Arial"/>
          <w:b/>
          <w:i w:val="0"/>
          <w:color w:val="444444"/>
          <w:sz w:val="24"/>
        </w:rPr>
        <w:t>Indigenous Data Sovereignty: A Model for Collective Consent</w:t>
      </w:r>
    </w:p>
    <w:p>
      <w:pPr>
        <w:spacing w:before="60" w:after="60" w:line="320" w:lineRule="exact"/>
      </w:pPr>
      <w:r>
        <w:rPr>
          <w:rFonts w:ascii="Arial" w:hAnsi="Arial"/>
          <w:b w:val="0"/>
          <w:i w:val="0"/>
          <w:sz w:val="22"/>
        </w:rPr>
        <w:t xml:space="preserve">The Indigenous data sovereignty movement offers valuable principles for CC's equity-centered mission. The </w:t>
      </w:r>
      <w:hyperlink r:id="rId17">
        <w:r>
          <w:rPr>
            <w:rStyle w:val="Hyperlink"/>
            <w:rFonts w:ascii="Arial" w:hAnsi="Arial"/>
            <w:color w:val="0066CC"/>
            <w:u w:val="single"/>
          </w:rPr>
          <w:t xml:space="preserve">CARE Principles</w:t>
        </w:r>
      </w:hyperlink>
      <w:r>
        <w:rPr>
          <w:rFonts w:ascii="Arial" w:hAnsi="Arial"/>
          <w:b w:val="0"/>
          <w:i w:val="0"/>
          <w:sz w:val="22"/>
        </w:rPr>
        <w:t xml:space="preserve"> (Collective Benefit, Authority to Control, Responsibility, Ethics), the Canadian </w:t>
      </w:r>
      <w:hyperlink r:id="rId18">
        <w:r>
          <w:rPr>
            <w:rStyle w:val="Hyperlink"/>
            <w:rFonts w:ascii="Arial" w:hAnsi="Arial"/>
            <w:color w:val="0066CC"/>
            <w:u w:val="single"/>
          </w:rPr>
          <w:t xml:space="preserve">OCAP framework</w:t>
        </w:r>
      </w:hyperlink>
      <w:r>
        <w:rPr>
          <w:rFonts w:ascii="Arial" w:hAnsi="Arial"/>
          <w:b w:val="0"/>
          <w:i w:val="0"/>
          <w:sz w:val="22"/>
        </w:rPr>
        <w:t xml:space="preserve">, and New Zealand's </w:t>
      </w:r>
      <w:hyperlink r:id="rId19">
        <w:r>
          <w:rPr>
            <w:rStyle w:val="Hyperlink"/>
            <w:rFonts w:ascii="Arial" w:hAnsi="Arial"/>
            <w:color w:val="0066CC"/>
            <w:u w:val="single"/>
          </w:rPr>
          <w:t xml:space="preserve">Te Mana Raraunga</w:t>
        </w:r>
      </w:hyperlink>
      <w:r>
        <w:rPr>
          <w:rFonts w:ascii="Arial" w:hAnsi="Arial"/>
          <w:b w:val="0"/>
          <w:i w:val="0"/>
          <w:sz w:val="22"/>
        </w:rPr>
        <w:t xml:space="preserve"> challenge the individual consent model that dominates AI governance. They argue that data about communities should benefit those communities and be governed collectively.</w:t>
      </w:r>
    </w:p>
    <w:p>
      <w:pPr>
        <w:spacing w:before="60" w:after="60" w:line="320" w:lineRule="exact"/>
      </w:pPr>
      <w:r>
        <w:rPr>
          <w:rFonts w:ascii="Arial" w:hAnsi="Arial"/>
          <w:b w:val="0"/>
          <w:i w:val="0"/>
          <w:sz w:val="22"/>
        </w:rPr>
        <w:t xml:space="preserve">For community colleges serving place-based, historically marginalized communities, this framing resonates. A student's educational data isn't just theirs individually—it reflects and affects their communities. </w:t>
      </w:r>
      <w:hyperlink r:id="rId20">
        <w:r>
          <w:rPr>
            <w:rStyle w:val="Hyperlink"/>
            <w:rFonts w:ascii="Arial" w:hAnsi="Arial"/>
            <w:color w:val="0066CC"/>
            <w:u w:val="single"/>
          </w:rPr>
          <w:t xml:space="preserve">UNESCO's new Guidelines on Indigenous Data Sovereignty in AI</w:t>
        </w:r>
      </w:hyperlink>
      <w:r>
        <w:rPr>
          <w:rFonts w:ascii="Arial" w:hAnsi="Arial"/>
          <w:b w:val="0"/>
          <w:i w:val="0"/>
          <w:sz w:val="22"/>
        </w:rPr>
        <w:t xml:space="preserve"> specifically apply these principles to AI development, offering a model for culturally-responsive educational AI governance.</w:t>
      </w:r>
    </w:p>
    <w:p>
      <w:pPr>
        <w:spacing w:before="240" w:after="80"/>
      </w:pPr>
      <w:r>
        <w:rPr>
          <w:rFonts w:ascii="Arial" w:hAnsi="Arial"/>
          <w:b/>
          <w:i w:val="0"/>
          <w:color w:val="444444"/>
          <w:sz w:val="24"/>
        </w:rPr>
        <w:t>Recommendations</w:t>
      </w:r>
    </w:p>
    <w:p>
      <w:pPr>
        <w:spacing w:before="60" w:after="60" w:line="320" w:lineRule="exact"/>
      </w:pPr>
      <w:r>
        <w:rPr>
          <w:rFonts w:ascii="Arial" w:hAnsi="Arial"/>
          <w:b w:val="0"/>
          <w:i w:val="0"/>
          <w:sz w:val="22"/>
        </w:rPr>
        <w:t>Based on this discovery, possible recommendations for College Futures:</w:t>
      </w:r>
    </w:p>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DDDDDD"/>
              <w:bottom w:sz="4" w:val="single" w:color="DDDDDD"/>
              <w:left w:sz="24" w:val="single" w:color="28A745"/>
              <w:right w:sz="4" w:val="single" w:color="DDDDDD"/>
            </w:tcBorders>
          </w:tcPr>
          <w:p>
            <w:r>
              <w:rPr>
                <w:rFonts w:ascii="Arial" w:hAnsi="Arial"/>
                <w:b w:val="0"/>
                <w:i w:val="0"/>
                <w:sz w:val="22"/>
              </w:rPr>
              <w:t>1</w:t>
            </w:r>
            <w:r>
              <w:rPr>
                <w:rFonts w:ascii="Arial" w:hAnsi="Arial"/>
                <w:b/>
                <w:i w:val="0"/>
                <w:sz w:val="22"/>
              </w:rPr>
              <w:t>Prioritize extraction and analysis</w:t>
            </w:r>
          </w:p>
          <w:p>
            <w:pPr>
              <w:spacing w:before="40" w:after="40" w:line="320" w:lineRule="exact"/>
            </w:pPr>
            <w:r>
              <w:rPr>
                <w:rFonts w:ascii="Arial" w:hAnsi="Arial"/>
                <w:b w:val="0"/>
                <w:i w:val="0"/>
                <w:sz w:val="22"/>
              </w:rPr>
              <w:t xml:space="preserve"> of the </w:t>
            </w:r>
            <w:r>
              <w:rPr>
                <w:rFonts w:ascii="Arial" w:hAnsi="Arial"/>
                <w:b w:val="0"/>
                <w:i w:val="0"/>
                <w:sz w:val="22"/>
              </w:rPr>
              <w:t>ASCCC framework</w:t>
            </w:r>
          </w:p>
          <w:p>
            <w:pPr>
              <w:spacing w:before="40" w:after="40" w:line="320" w:lineRule="exact"/>
            </w:pPr>
            <w:r>
              <w:rPr>
                <w:rFonts w:ascii="Arial" w:hAnsi="Arial"/>
                <w:b w:val="0"/>
                <w:i w:val="0"/>
                <w:sz w:val="22"/>
              </w:rPr>
              <w:t>,</w:t>
            </w:r>
            <w:r>
              <w:rPr>
                <w:rFonts w:ascii="Arial" w:hAnsi="Arial"/>
                <w:b w:val="0"/>
                <w:i w:val="0"/>
                <w:color w:val="0066CC"/>
                <w:sz w:val="22"/>
              </w:rPr>
              <w:t>[19]</w:t>
            </w:r>
            <w:r>
              <w:rPr>
                <w:rFonts w:ascii="Arial" w:hAnsi="Arial"/>
                <w:b w:val="0"/>
                <w:i w:val="0"/>
                <w:sz w:val="22"/>
              </w:rPr>
              <w:t>Achieving the Dream report</w:t>
            </w:r>
          </w:p>
          <w:p>
            <w:pPr>
              <w:spacing w:before="40" w:after="40" w:line="320" w:lineRule="exact"/>
            </w:pPr>
            <w:r>
              <w:rPr>
                <w:rFonts w:ascii="Arial" w:hAnsi="Arial"/>
                <w:b w:val="0"/>
                <w:i w:val="0"/>
                <w:sz w:val="22"/>
              </w:rPr>
              <w:t>,</w:t>
            </w:r>
            <w:r>
              <w:rPr>
                <w:rFonts w:ascii="Arial" w:hAnsi="Arial"/>
                <w:b w:val="0"/>
                <w:i w:val="0"/>
                <w:color w:val="0066CC"/>
                <w:sz w:val="22"/>
              </w:rPr>
              <w:t>[1]</w:t>
            </w:r>
            <w:r>
              <w:rPr>
                <w:rFonts w:ascii="Arial" w:hAnsi="Arial"/>
                <w:b w:val="0"/>
                <w:i w:val="0"/>
                <w:sz w:val="22"/>
              </w:rPr>
              <w:t>IEEE P7004</w:t>
            </w:r>
          </w:p>
          <w:p>
            <w:pPr>
              <w:spacing w:before="40" w:after="40" w:line="320" w:lineRule="exact"/>
            </w:pPr>
            <w:r>
              <w:rPr>
                <w:rFonts w:ascii="Arial" w:hAnsi="Arial"/>
                <w:b w:val="0"/>
                <w:i w:val="0"/>
                <w:sz w:val="22"/>
              </w:rPr>
              <w:t>,</w:t>
            </w:r>
            <w:r>
              <w:rPr>
                <w:rFonts w:ascii="Arial" w:hAnsi="Arial"/>
                <w:b w:val="0"/>
                <w:i w:val="0"/>
                <w:color w:val="0066CC"/>
                <w:sz w:val="22"/>
              </w:rPr>
              <w:t>[6]</w:t>
            </w:r>
          </w:p>
          <w:p>
            <w:pPr>
              <w:spacing w:before="40" w:after="40" w:line="320" w:lineRule="exact"/>
            </w:pPr>
            <w:r>
              <w:rPr>
                <w:rFonts w:ascii="Arial" w:hAnsi="Arial"/>
                <w:b w:val="0"/>
                <w:i w:val="0"/>
                <w:sz w:val="22"/>
              </w:rPr>
              <w:t xml:space="preserve"> and the </w:t>
            </w:r>
            <w:r>
              <w:rPr>
                <w:rFonts w:ascii="Arial" w:hAnsi="Arial"/>
                <w:b w:val="0"/>
                <w:i w:val="0"/>
                <w:sz w:val="22"/>
              </w:rPr>
              <w:t>AI Handbook for Local Government</w:t>
            </w:r>
          </w:p>
          <w:p>
            <w:pPr>
              <w:spacing w:before="40" w:after="40" w:line="320" w:lineRule="exact"/>
            </w:pPr>
            <w:r>
              <w:rPr>
                <w:rFonts w:ascii="Arial" w:hAnsi="Arial"/>
                <w:b w:val="0"/>
                <w:i w:val="0"/>
                <w:sz w:val="22"/>
              </w:rPr>
              <w:t xml:space="preserve"> as directly applicable resources.</w:t>
              <w:br/>
            </w:r>
          </w:p>
        </w:tc>
      </w:tr>
    </w:tbl>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DDDDDD"/>
              <w:bottom w:sz="4" w:val="single" w:color="DDDDDD"/>
              <w:left w:sz="24" w:val="single" w:color="28A745"/>
              <w:right w:sz="4" w:val="single" w:color="DDDDDD"/>
            </w:tcBorders>
          </w:tcPr>
          <w:p>
            <w:r>
              <w:rPr>
                <w:rFonts w:ascii="Arial" w:hAnsi="Arial"/>
                <w:b w:val="0"/>
                <w:i w:val="0"/>
                <w:sz w:val="22"/>
              </w:rPr>
              <w:t>2</w:t>
            </w:r>
            <w:r>
              <w:rPr>
                <w:rFonts w:ascii="Arial" w:hAnsi="Arial"/>
                <w:b/>
                <w:i w:val="0"/>
                <w:sz w:val="22"/>
              </w:rPr>
              <w:t>Develop CC-specific guidance</w:t>
            </w:r>
          </w:p>
          <w:p>
            <w:pPr>
              <w:spacing w:before="40" w:after="40" w:line="320" w:lineRule="exact"/>
            </w:pPr>
            <w:r>
              <w:rPr>
                <w:rFonts w:ascii="Arial" w:hAnsi="Arial"/>
                <w:b w:val="0"/>
                <w:i w:val="0"/>
                <w:sz w:val="22"/>
              </w:rPr>
              <w:t xml:space="preserve"> filling the identified gaps—particularly for adult learners, workforce education, adjunct faculty considerations, and non-credit programs that other frameworks ignore.</w:t>
              <w:br/>
            </w:r>
          </w:p>
        </w:tc>
      </w:tr>
    </w:tbl>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DDDDDD"/>
              <w:bottom w:sz="4" w:val="single" w:color="DDDDDD"/>
              <w:left w:sz="24" w:val="single" w:color="28A745"/>
              <w:right w:sz="4" w:val="single" w:color="DDDDDD"/>
            </w:tcBorders>
          </w:tcPr>
          <w:p>
            <w:r>
              <w:rPr>
                <w:rFonts w:ascii="Arial" w:hAnsi="Arial"/>
                <w:b w:val="0"/>
                <w:i w:val="0"/>
                <w:sz w:val="22"/>
              </w:rPr>
              <w:t>3</w:t>
            </w:r>
            <w:r>
              <w:rPr>
                <w:rFonts w:ascii="Arial" w:hAnsi="Arial"/>
                <w:b/>
                <w:i w:val="0"/>
                <w:sz w:val="22"/>
              </w:rPr>
              <w:t>Prepare for agentic AI</w:t>
            </w:r>
          </w:p>
          <w:p>
            <w:pPr>
              <w:spacing w:before="40" w:after="40" w:line="320" w:lineRule="exact"/>
            </w:pPr>
            <w:r>
              <w:rPr>
                <w:rFonts w:ascii="Arial" w:hAnsi="Arial"/>
                <w:b w:val="0"/>
                <w:i w:val="0"/>
                <w:sz w:val="22"/>
              </w:rPr>
              <w:t xml:space="preserve"> by adapting </w:t>
            </w:r>
            <w:r>
              <w:rPr>
                <w:rFonts w:ascii="Arial" w:hAnsi="Arial"/>
                <w:b w:val="0"/>
                <w:i w:val="0"/>
                <w:sz w:val="22"/>
              </w:rPr>
              <w:t>Singapore's</w:t>
            </w:r>
            <w:r>
              <w:rPr>
                <w:rFonts w:ascii="Arial" w:hAnsi="Arial"/>
                <w:b w:val="0"/>
                <w:i w:val="0"/>
                <w:sz w:val="22"/>
              </w:rPr>
              <w:t>Agentic AI governance frameworks</w:t>
            </w:r>
            <w:r>
              <w:rPr>
                <w:rFonts w:ascii="Arial" w:hAnsi="Arial"/>
                <w:b w:val="0"/>
                <w:i w:val="0"/>
                <w:color w:val="0066CC"/>
                <w:sz w:val="22"/>
              </w:rPr>
              <w:t>[21]</w:t>
            </w:r>
            <w:r>
              <w:rPr>
                <w:rFonts w:ascii="Arial" w:hAnsi="Arial"/>
                <w:b w:val="0"/>
                <w:i w:val="0"/>
                <w:color w:val="0066CC"/>
                <w:sz w:val="22"/>
              </w:rPr>
              <w:t>[22]</w:t>
            </w:r>
          </w:p>
          <w:p>
            <w:pPr>
              <w:spacing w:before="40" w:after="40" w:line="320" w:lineRule="exact"/>
            </w:pPr>
            <w:r>
              <w:rPr>
                <w:rFonts w:ascii="Arial" w:hAnsi="Arial"/>
                <w:b w:val="0"/>
                <w:i w:val="0"/>
                <w:sz w:val="22"/>
              </w:rPr>
              <w:t xml:space="preserve"> to educational contexts before tutoring and advising agents proliferate.</w:t>
              <w:br/>
            </w:r>
          </w:p>
        </w:tc>
      </w:tr>
    </w:tbl>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DDDDDD"/>
              <w:bottom w:sz="4" w:val="single" w:color="DDDDDD"/>
              <w:left w:sz="24" w:val="single" w:color="28A745"/>
              <w:right w:sz="4" w:val="single" w:color="DDDDDD"/>
            </w:tcBorders>
          </w:tcPr>
          <w:p>
            <w:r>
              <w:rPr>
                <w:rFonts w:ascii="Arial" w:hAnsi="Arial"/>
                <w:b w:val="0"/>
                <w:i w:val="0"/>
                <w:sz w:val="22"/>
              </w:rPr>
              <w:t>4</w:t>
            </w:r>
            <w:r>
              <w:rPr>
                <w:rFonts w:ascii="Arial" w:hAnsi="Arial"/>
                <w:b/>
                <w:i w:val="0"/>
                <w:sz w:val="22"/>
              </w:rPr>
              <w:t>Integrate Indigenous data sovereignty principles</w:t>
            </w:r>
          </w:p>
          <w:p>
            <w:pPr>
              <w:spacing w:before="40" w:after="40" w:line="320" w:lineRule="exact"/>
            </w:pPr>
            <w:r>
              <w:rPr>
                <w:rFonts w:ascii="Arial" w:hAnsi="Arial"/>
                <w:b w:val="0"/>
                <w:i w:val="0"/>
                <w:sz w:val="22"/>
              </w:rPr>
              <w:t xml:space="preserve"> through </w:t>
            </w:r>
            <w:r>
              <w:rPr>
                <w:rFonts w:ascii="Arial" w:hAnsi="Arial"/>
                <w:b w:val="0"/>
                <w:i w:val="0"/>
                <w:sz w:val="22"/>
              </w:rPr>
              <w:t>Local Contexts TK Labels</w:t>
            </w:r>
          </w:p>
          <w:p>
            <w:pPr>
              <w:spacing w:before="40" w:after="40" w:line="320" w:lineRule="exact"/>
            </w:pPr>
            <w:r>
              <w:rPr>
                <w:rFonts w:ascii="Arial" w:hAnsi="Arial"/>
                <w:b w:val="0"/>
                <w:i w:val="0"/>
                <w:sz w:val="22"/>
              </w:rPr>
              <w:t xml:space="preserve"> and </w:t>
            </w:r>
            <w:r>
              <w:rPr>
                <w:rFonts w:ascii="Arial" w:hAnsi="Arial"/>
                <w:b w:val="0"/>
                <w:i w:val="0"/>
                <w:sz w:val="22"/>
              </w:rPr>
              <w:t>CARE frameworks</w:t>
            </w:r>
          </w:p>
          <w:p>
            <w:pPr>
              <w:spacing w:before="40" w:after="40" w:line="320" w:lineRule="exact"/>
            </w:pPr>
            <w:r>
              <w:rPr>
                <w:rFonts w:ascii="Arial" w:hAnsi="Arial"/>
                <w:b w:val="0"/>
                <w:i w:val="0"/>
                <w:sz w:val="22"/>
              </w:rPr>
              <w:t>, recognizing community colleges' unique community-serving mission.</w:t>
              <w:br/>
            </w:r>
          </w:p>
        </w:tc>
      </w:tr>
    </w:tbl>
    <w:tbl>
      <w:tblPr>
        <w:tblW w:type="auto" w:w="0"/>
        <w:jc w:val="center"/>
        <w:tblLook w:firstColumn="1" w:firstRow="1" w:lastColumn="0" w:lastRow="0" w:noHBand="0" w:noVBand="1" w:val="04A0"/>
        <w:tblW w:w="5000" w:type="pct"/>
      </w:tblPr>
      <w:tblGrid>
        <w:gridCol w:w="9360"/>
      </w:tblGrid>
      <w:tr>
        <w:tc>
          <w:tcPr>
            <w:tcW w:type="dxa" w:w="9360"/>
            <w:shd w:fill="FFFFFF" w:val="clear"/>
            <w:tcBorders>
              <w:top w:sz="4" w:val="single" w:color="DDDDDD"/>
              <w:bottom w:sz="4" w:val="single" w:color="DDDDDD"/>
              <w:left w:sz="24" w:val="single" w:color="28A745"/>
              <w:right w:sz="4" w:val="single" w:color="DDDDDD"/>
            </w:tcBorders>
          </w:tcPr>
          <w:p>
            <w:r>
              <w:rPr>
                <w:rFonts w:ascii="Arial" w:hAnsi="Arial"/>
                <w:b w:val="0"/>
                <w:i w:val="0"/>
                <w:sz w:val="22"/>
              </w:rPr>
              <w:t>5</w:t>
            </w:r>
            <w:r>
              <w:rPr>
                <w:rFonts w:ascii="Arial" w:hAnsi="Arial"/>
                <w:b/>
                <w:i w:val="0"/>
                <w:sz w:val="22"/>
              </w:rPr>
              <w:t>Monitor pending legislation</w:t>
            </w:r>
          </w:p>
          <w:p>
            <w:pPr>
              <w:spacing w:before="40" w:after="40" w:line="320" w:lineRule="exact"/>
            </w:pPr>
            <w:r>
              <w:rPr>
                <w:rFonts w:ascii="Arial" w:hAnsi="Arial"/>
                <w:b w:val="0"/>
                <w:i w:val="0"/>
                <w:sz w:val="22"/>
              </w:rPr>
              <w:t xml:space="preserve"> including the federal AI Civil Rights Act (which explicitly covers education) and Brazil's Marco Legal (as a model for risk-based regulation in resource-constrained contexts).</w:t>
              <w:br/>
            </w:r>
          </w:p>
        </w:tc>
      </w:tr>
    </w:tbl>
    <w:tbl>
      <w:tblPr>
        <w:tblW w:type="auto" w:w="0"/>
        <w:jc w:val="center"/>
        <w:tblLook w:firstColumn="1" w:firstRow="1" w:lastColumn="0" w:lastRow="0" w:noHBand="0" w:noVBand="1" w:val="04A0"/>
        <w:tblW w:w="5000" w:type="pct"/>
      </w:tblPr>
      <w:tblGrid>
        <w:gridCol w:w="9360"/>
      </w:tblGrid>
      <w:tr>
        <w:tc>
          <w:tcPr>
            <w:tcW w:type="dxa" w:w="9360"/>
            <w:shd w:fill="FFF3CD" w:val="clear"/>
            <w:tcBorders>
              <w:top w:sz="4" w:val="single" w:color="FFF3CD"/>
              <w:bottom w:sz="4" w:val="single" w:color="FFF3CD"/>
              <w:left w:sz="24" w:val="single" w:color="FFC107"/>
              <w:right w:sz="4" w:val="single" w:color="FFF3CD"/>
            </w:tcBorders>
          </w:tcPr>
          <w:p>
            <w:pPr>
              <w:spacing w:before="40" w:after="40" w:line="320" w:lineRule="exact"/>
            </w:pPr>
            <w:r>
              <w:rPr>
                <w:rFonts w:ascii="Arial" w:hAnsi="Arial"/>
                <w:b w:val="0"/>
                <w:i w:val="0"/>
                <w:sz w:val="22"/>
              </w:rPr>
              <w:br/>
              <w:t>The global AI governance landscape offers a lot of possible resources, but community colleges must adapt these frameworks rather than adopt them directly. This discovery phase provides the raw material; the further analysis and synthesis phase will need translate it to CC realities.</w:t>
              <w:br/>
            </w:r>
          </w:p>
        </w:tc>
      </w:tr>
    </w:tbl>
    <w:p>
      <w:pPr>
        <w:pBdr>
          <w:bottom w:val="single" w:sz="4" w:space="1" w:color="CCCCCC"/>
        </w:pBdr>
        <w:spacing w:before="120" w:after="120"/>
      </w:pPr>
    </w:p>
    <w:p>
      <w:pPr>
        <w:spacing w:before="320" w:after="80"/>
        <w:pBdr>
          <w:bottom w:val="single" w:sz="4" w:space="1" w:color="DDDDDD"/>
        </w:pBdr>
      </w:pPr>
      <w:r>
        <w:rPr>
          <w:rFonts w:ascii="Arial" w:hAnsi="Arial"/>
          <w:b/>
          <w:i w:val="0"/>
          <w:color w:val="333333"/>
          <w:sz w:val="28"/>
        </w:rPr>
        <w:t>Discovery at a Glance</w:t>
      </w:r>
    </w:p>
    <w:tbl>
      <w:tblPr>
        <w:tblW w:type="auto" w:w="0"/>
        <w:jc w:val="center"/>
        <w:tblLook w:firstColumn="1" w:firstRow="1" w:lastColumn="0" w:lastRow="0" w:noHBand="0" w:noVBand="1" w:val="04A0"/>
        <w:tblW w:w="5000" w:type="pct"/>
        <w:tblBorders>
          <w:top w:val="single" w:sz="4" w:color="DDDDDD"/>
          <w:left w:val="single" w:sz="4" w:color="DDDDDD"/>
          <w:bottom w:val="single" w:sz="4" w:color="DDDDDD"/>
          <w:right w:val="single" w:sz="4" w:color="DDDDDD"/>
          <w:insideH w:val="single" w:sz="4" w:color="DDDDDD"/>
          <w:insideV w:val="single" w:sz="4" w:color="DDDDDD"/>
        </w:tblBorders>
      </w:tblPr>
      <w:tblGrid>
        <w:gridCol w:w="3120"/>
        <w:gridCol w:w="3120"/>
        <w:gridCol w:w="3120"/>
      </w:tblGrid>
      <w:tr>
        <w:tc>
          <w:tcPr>
            <w:tcW w:type="dxa" w:w="3120"/>
            <w:shd w:fill="F8F9FA" w:val="clear"/>
          </w:tcPr>
          <w:p>
            <w:pPr>
              <w:spacing w:before="120" w:after="0"/>
              <w:jc w:val="center"/>
            </w:pPr>
            <w:r>
              <w:rPr>
                <w:rFonts w:ascii="Arial" w:hAnsi="Arial"/>
                <w:b/>
                <w:i w:val="0"/>
                <w:color w:val="0066CC"/>
                <w:sz w:val="48"/>
              </w:rPr>
              <w:t>12</w:t>
            </w:r>
          </w:p>
          <w:p>
            <w:pPr>
              <w:spacing w:before="40" w:after="120"/>
              <w:jc w:val="center"/>
            </w:pPr>
            <w:r>
              <w:rPr>
                <w:rFonts w:ascii="Arial" w:hAnsi="Arial"/>
                <w:b w:val="0"/>
                <w:i w:val="0"/>
                <w:color w:val="666666"/>
                <w:sz w:val="20"/>
              </w:rPr>
              <w:t>Domains Searched</w:t>
            </w:r>
          </w:p>
        </w:tc>
        <w:tc>
          <w:tcPr>
            <w:tcW w:type="dxa" w:w="3120"/>
            <w:shd w:fill="F8F9FA" w:val="clear"/>
          </w:tcPr>
          <w:p>
            <w:pPr>
              <w:spacing w:before="120" w:after="0"/>
              <w:jc w:val="center"/>
            </w:pPr>
            <w:r>
              <w:rPr>
                <w:rFonts w:ascii="Arial" w:hAnsi="Arial"/>
                <w:b/>
                <w:i w:val="0"/>
                <w:color w:val="0066CC"/>
                <w:sz w:val="48"/>
              </w:rPr>
              <w:t>224</w:t>
            </w:r>
          </w:p>
          <w:p>
            <w:pPr>
              <w:spacing w:before="40" w:after="120"/>
              <w:jc w:val="center"/>
            </w:pPr>
            <w:r>
              <w:rPr>
                <w:rFonts w:ascii="Arial" w:hAnsi="Arial"/>
                <w:b w:val="0"/>
                <w:i w:val="0"/>
                <w:color w:val="666666"/>
                <w:sz w:val="20"/>
              </w:rPr>
              <w:t>Frameworks Identified</w:t>
            </w:r>
          </w:p>
        </w:tc>
        <w:tc>
          <w:tcPr>
            <w:tcW w:type="dxa" w:w="3120"/>
            <w:shd w:fill="F8F9FA" w:val="clear"/>
          </w:tcPr>
          <w:p>
            <w:pPr>
              <w:spacing w:before="120" w:after="0"/>
              <w:jc w:val="center"/>
            </w:pPr>
            <w:r>
              <w:rPr>
                <w:rFonts w:ascii="Arial" w:hAnsi="Arial"/>
                <w:b/>
                <w:i w:val="0"/>
                <w:color w:val="0066CC"/>
                <w:sz w:val="48"/>
              </w:rPr>
              <w:t>~210</w:t>
            </w:r>
          </w:p>
          <w:p>
            <w:pPr>
              <w:spacing w:before="40" w:after="120"/>
              <w:jc w:val="center"/>
            </w:pPr>
            <w:r>
              <w:rPr>
                <w:rFonts w:ascii="Arial" w:hAnsi="Arial"/>
                <w:b w:val="0"/>
                <w:i w:val="0"/>
                <w:color w:val="666666"/>
                <w:sz w:val="20"/>
              </w:rPr>
              <w:t>New Frameworks</w:t>
            </w:r>
          </w:p>
        </w:tc>
      </w:tr>
      <w:tr>
        <w:tc>
          <w:tcPr>
            <w:tcW w:type="dxa" w:w="3120"/>
            <w:shd w:fill="F8F9FA" w:val="clear"/>
          </w:tcPr>
          <w:p>
            <w:pPr>
              <w:spacing w:before="120" w:after="0"/>
              <w:jc w:val="center"/>
            </w:pPr>
            <w:r>
              <w:rPr>
                <w:rFonts w:ascii="Arial" w:hAnsi="Arial"/>
                <w:b/>
                <w:i w:val="0"/>
                <w:color w:val="0066CC"/>
                <w:sz w:val="48"/>
              </w:rPr>
              <w:t>62</w:t>
            </w:r>
          </w:p>
          <w:p>
            <w:pPr>
              <w:spacing w:before="40" w:after="120"/>
              <w:jc w:val="center"/>
            </w:pPr>
            <w:r>
              <w:rPr>
                <w:rFonts w:ascii="Arial" w:hAnsi="Arial"/>
                <w:b w:val="0"/>
                <w:i w:val="0"/>
                <w:color w:val="666666"/>
                <w:sz w:val="20"/>
              </w:rPr>
              <w:t>High-Priority Additions</w:t>
            </w:r>
          </w:p>
        </w:tc>
        <w:tc>
          <w:tcPr>
            <w:tcW w:type="dxa" w:w="3120"/>
            <w:shd w:fill="F8F9FA" w:val="clear"/>
          </w:tcPr>
          <w:p>
            <w:pPr>
              <w:spacing w:before="120" w:after="0"/>
              <w:jc w:val="center"/>
            </w:pPr>
            <w:r>
              <w:rPr>
                <w:rFonts w:ascii="Arial" w:hAnsi="Arial"/>
                <w:b/>
                <w:i w:val="0"/>
                <w:color w:val="0066CC"/>
                <w:sz w:val="48"/>
              </w:rPr>
              <w:t>11</w:t>
            </w:r>
          </w:p>
          <w:p>
            <w:pPr>
              <w:spacing w:before="40" w:after="120"/>
              <w:jc w:val="center"/>
            </w:pPr>
            <w:r>
              <w:rPr>
                <w:rFonts w:ascii="Arial" w:hAnsi="Arial"/>
                <w:b w:val="0"/>
                <w:i w:val="0"/>
                <w:color w:val="666666"/>
                <w:sz w:val="20"/>
              </w:rPr>
              <w:t>Critical/High for CC Context</w:t>
            </w:r>
          </w:p>
        </w:tc>
        <w:tc>
          <w:tcPr>
            <w:tcW w:type="dxa" w:w="3120"/>
            <w:shd w:fill="F8F9FA" w:val="clear"/>
          </w:tcPr>
          <w:p>
            <w:pPr>
              <w:spacing w:before="120" w:after="0"/>
              <w:jc w:val="center"/>
            </w:pPr>
            <w:r>
              <w:rPr>
                <w:rFonts w:ascii="Arial" w:hAnsi="Arial"/>
                <w:b/>
                <w:i w:val="0"/>
                <w:color w:val="0066CC"/>
                <w:sz w:val="48"/>
              </w:rPr>
              <w:t>~14</w:t>
            </w:r>
          </w:p>
          <w:p>
            <w:pPr>
              <w:spacing w:before="40" w:after="120"/>
              <w:jc w:val="center"/>
            </w:pPr>
            <w:r>
              <w:rPr>
                <w:rFonts w:ascii="Arial" w:hAnsi="Arial"/>
                <w:b w:val="0"/>
                <w:i w:val="0"/>
                <w:color w:val="666666"/>
                <w:sz w:val="20"/>
              </w:rPr>
              <w:t>Already in Inventory</w:t>
            </w:r>
          </w:p>
        </w:tc>
      </w:tr>
    </w:tbl>
    <w:p>
      <w:pPr>
        <w:pBdr>
          <w:bottom w:val="single" w:sz="4" w:space="1" w:color="CCCCCC"/>
        </w:pBdr>
        <w:spacing w:before="120" w:after="120"/>
      </w:pPr>
    </w:p>
    <w:p>
      <w:pPr>
        <w:spacing w:before="320" w:after="80"/>
        <w:pBdr>
          <w:bottom w:val="single" w:sz="4" w:space="1" w:color="DDDDDD"/>
        </w:pBdr>
      </w:pPr>
      <w:r>
        <w:rPr>
          <w:rFonts w:ascii="Arial" w:hAnsi="Arial"/>
          <w:b/>
          <w:i w:val="0"/>
          <w:color w:val="333333"/>
          <w:sz w:val="28"/>
        </w:rPr>
        <w:t>Domain Summaries</w:t>
      </w:r>
    </w:p>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1. Africa (15 frameworks)</w:t>
            </w:r>
          </w:p>
          <w:p>
            <w:pPr>
              <w:spacing w:before="40" w:after="40" w:line="320" w:lineRule="exact"/>
            </w:pPr>
            <w:r>
              <w:rPr>
                <w:rFonts w:ascii="Arial" w:hAnsi="Arial"/>
                <w:b w:val="0"/>
                <w:i w:val="0"/>
                <w:sz w:val="22"/>
              </w:rPr>
              <w:br/>
            </w:r>
            <w:r>
              <w:rPr>
                <w:rFonts w:ascii="Arial" w:hAnsi="Arial"/>
                <w:b w:val="0"/>
                <w:i w:val="0"/>
                <w:sz w:val="22"/>
              </w:rPr>
              <w:br/>
              <w:t xml:space="preserve">  The AU Continental AI Strategy (2024)</w:t>
            </w:r>
            <w:r>
              <w:rPr>
                <w:rFonts w:ascii="Arial" w:hAnsi="Arial"/>
                <w:b w:val="0"/>
                <w:i w:val="0"/>
                <w:color w:val="0066CC"/>
                <w:sz w:val="14"/>
                <w:vertAlign w:val="superscript"/>
              </w:rPr>
              <w:t>[4]</w:t>
            </w:r>
            <w:r>
              <w:rPr>
                <w:rFonts w:ascii="Arial" w:hAnsi="Arial"/>
                <w:b w:val="0"/>
                <w:i w:val="0"/>
                <w:sz w:val="22"/>
              </w:rPr>
              <w:t xml:space="preserve"> and the Africa Declaration on AI (2025) establish pan-African governance. Nigeria, Kenya, Rwanda, Egypt, and South Africa lead national efforts. The Africa AI Council launched via Smart Africa in November 2025.</w:t>
            </w:r>
            <w:r>
              <w:rPr>
                <w:rFonts w:ascii="Arial" w:hAnsi="Arial"/>
                <w:b w:val="0"/>
                <w:i w:val="0"/>
                <w:color w:val="0066CC"/>
                <w:sz w:val="14"/>
                <w:vertAlign w:val="superscript"/>
              </w:rPr>
              <w:t>[18]</w:t>
            </w:r>
            <w:r>
              <w:rPr>
                <w:rFonts w:ascii="Arial" w:hAnsi="Arial"/>
                <w:b w:val="0"/>
                <w:i w:val="0"/>
                <w:sz w:val="22"/>
              </w:rPr>
              <w:t xml:space="preserve"> </w:t>
            </w:r>
            <w:r>
              <w:rPr>
                <w:rFonts w:ascii="Arial" w:hAnsi="Arial"/>
                <w:b/>
                <w:i w:val="0"/>
                <w:sz w:val="22"/>
              </w:rPr>
              <w:t>Key insight:</w:t>
            </w:r>
            <w:r>
              <w:rPr>
                <w:rFonts w:ascii="Arial" w:hAnsi="Arial"/>
                <w:b w:val="0"/>
                <w:i w:val="0"/>
                <w:sz w:val="22"/>
              </w:rPr>
              <w:t xml:space="preserve"> emphasis on data sovereignty and local computing capacity aligns with CC equity concerns.</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2. Asia-Pacific (26 frameworks)</w:t>
            </w:r>
          </w:p>
          <w:p>
            <w:pPr>
              <w:spacing w:before="40" w:after="40" w:line="320" w:lineRule="exact"/>
            </w:pPr>
            <w:r>
              <w:rPr>
                <w:rFonts w:ascii="Arial" w:hAnsi="Arial"/>
                <w:b w:val="0"/>
                <w:i w:val="0"/>
                <w:sz w:val="22"/>
              </w:rPr>
              <w:br/>
            </w:r>
            <w:r>
              <w:rPr>
                <w:rFonts w:ascii="Arial" w:hAnsi="Arial"/>
                <w:b w:val="0"/>
                <w:i w:val="0"/>
                <w:sz w:val="22"/>
              </w:rPr>
              <w:br/>
              <w:t xml:space="preserve">  Most dynamic regulatory region. Japan's AI promotion act (2025),</w:t>
            </w:r>
            <w:r>
              <w:rPr>
                <w:rFonts w:ascii="Arial" w:hAnsi="Arial"/>
                <w:b w:val="0"/>
                <w:i w:val="0"/>
                <w:color w:val="0066CC"/>
                <w:sz w:val="14"/>
                <w:vertAlign w:val="superscript"/>
              </w:rPr>
              <w:t>[10]</w:t>
            </w:r>
            <w:r>
              <w:rPr>
                <w:rFonts w:ascii="Arial" w:hAnsi="Arial"/>
                <w:b w:val="0"/>
                <w:i w:val="0"/>
                <w:color w:val="0066CC"/>
                <w:sz w:val="14"/>
                <w:vertAlign w:val="superscript"/>
              </w:rPr>
              <w:t>[12]</w:t>
            </w:r>
            <w:r>
              <w:rPr>
                <w:rFonts w:ascii="Arial" w:hAnsi="Arial"/>
                <w:b w:val="0"/>
                <w:i w:val="0"/>
                <w:sz w:val="22"/>
              </w:rPr>
              <w:t xml:space="preserve"> South Korea AI Basic Act (2024),</w:t>
            </w:r>
            <w:r>
              <w:rPr>
                <w:rFonts w:ascii="Arial" w:hAnsi="Arial"/>
                <w:b w:val="0"/>
                <w:i w:val="0"/>
                <w:color w:val="0066CC"/>
                <w:sz w:val="14"/>
                <w:vertAlign w:val="superscript"/>
              </w:rPr>
              <w:t>[11]</w:t>
            </w:r>
            <w:r>
              <w:rPr>
                <w:rFonts w:ascii="Arial" w:hAnsi="Arial"/>
                <w:b w:val="0"/>
                <w:i w:val="0"/>
                <w:sz w:val="22"/>
              </w:rPr>
              <w:t xml:space="preserve"> Taiwan AI Basic Act (2025)</w:t>
            </w:r>
            <w:r>
              <w:rPr>
                <w:rFonts w:ascii="Arial" w:hAnsi="Arial"/>
                <w:b w:val="0"/>
                <w:i w:val="0"/>
                <w:color w:val="0066CC"/>
                <w:sz w:val="14"/>
                <w:vertAlign w:val="superscript"/>
              </w:rPr>
              <w:t>[13]</w:t>
            </w:r>
            <w:r>
              <w:rPr>
                <w:rFonts w:ascii="Arial" w:hAnsi="Arial"/>
                <w:b w:val="0"/>
                <w:i w:val="0"/>
                <w:color w:val="0066CC"/>
                <w:sz w:val="14"/>
                <w:vertAlign w:val="superscript"/>
              </w:rPr>
              <w:t>[14]</w:t>
            </w:r>
            <w:r>
              <w:rPr>
                <w:rFonts w:ascii="Arial" w:hAnsi="Arial"/>
                <w:b w:val="0"/>
                <w:i w:val="0"/>
                <w:sz w:val="22"/>
              </w:rPr>
              <w:t xml:space="preserve"> represent binding legislation wave. ASEAN's voluntary guide covers 10 nations.</w:t>
            </w:r>
            <w:r>
              <w:rPr>
                <w:rFonts w:ascii="Arial" w:hAnsi="Arial"/>
                <w:b w:val="0"/>
                <w:i w:val="0"/>
                <w:color w:val="0066CC"/>
                <w:sz w:val="14"/>
                <w:vertAlign w:val="superscript"/>
              </w:rPr>
              <w:t>[3]</w:t>
            </w:r>
            <w:r>
              <w:rPr>
                <w:rFonts w:ascii="Arial" w:hAnsi="Arial"/>
                <w:b w:val="0"/>
                <w:i w:val="0"/>
                <w:sz w:val="22"/>
              </w:rPr>
              <w:t xml:space="preserve"> Singapore's Agentic AI governance frameworks are globally significant.</w:t>
            </w:r>
            <w:r>
              <w:rPr>
                <w:rFonts w:ascii="Arial" w:hAnsi="Arial"/>
                <w:b w:val="0"/>
                <w:i w:val="0"/>
                <w:color w:val="0066CC"/>
                <w:sz w:val="14"/>
                <w:vertAlign w:val="superscript"/>
              </w:rPr>
              <w:t>[21]</w:t>
            </w:r>
            <w:r>
              <w:rPr>
                <w:rFonts w:ascii="Arial" w:hAnsi="Arial"/>
                <w:b w:val="0"/>
                <w:i w:val="0"/>
                <w:color w:val="0066CC"/>
                <w:sz w:val="14"/>
                <w:vertAlign w:val="superscript"/>
              </w:rPr>
              <w:t>[22]</w:t>
            </w:r>
            <w:r>
              <w:rPr>
                <w:rFonts w:ascii="Arial" w:hAnsi="Arial"/>
                <w:b w:val="0"/>
                <w:i w:val="0"/>
                <w:sz w:val="22"/>
              </w:rPr>
              <w:t xml:space="preserve"> China's labeling requirements and India's light-touch approach offer contrasting models.</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3. Latin America (22 frameworks)</w:t>
            </w:r>
          </w:p>
          <w:p>
            <w:pPr>
              <w:spacing w:before="40" w:after="40" w:line="320" w:lineRule="exact"/>
            </w:pPr>
            <w:r>
              <w:rPr>
                <w:rFonts w:ascii="Arial" w:hAnsi="Arial"/>
                <w:b w:val="0"/>
                <w:i w:val="0"/>
                <w:sz w:val="22"/>
              </w:rPr>
              <w:br/>
            </w:r>
            <w:r>
              <w:rPr>
                <w:rFonts w:ascii="Arial" w:hAnsi="Arial"/>
                <w:b w:val="0"/>
                <w:i w:val="0"/>
                <w:sz w:val="22"/>
              </w:rPr>
              <w:br/>
              <w:t xml:space="preserve">  Santiago (2023) and Montevideo (2024) Declarations create regional coordination.</w:t>
            </w:r>
            <w:r>
              <w:rPr>
                <w:rFonts w:ascii="Arial" w:hAnsi="Arial"/>
                <w:b w:val="0"/>
                <w:i w:val="0"/>
                <w:color w:val="0066CC"/>
                <w:sz w:val="14"/>
                <w:vertAlign w:val="superscript"/>
              </w:rPr>
              <w:t>[16]</w:t>
            </w:r>
            <w:r>
              <w:rPr>
                <w:rFonts w:ascii="Arial" w:hAnsi="Arial"/>
                <w:b w:val="0"/>
                <w:i w:val="0"/>
                <w:sz w:val="22"/>
              </w:rPr>
              <w:t xml:space="preserve"> Peru enacted Law 31814 (2023), among the first general AI laws in the region.</w:t>
            </w:r>
            <w:r>
              <w:rPr>
                <w:rFonts w:ascii="Arial" w:hAnsi="Arial"/>
                <w:b w:val="0"/>
                <w:i w:val="0"/>
                <w:color w:val="0066CC"/>
                <w:sz w:val="14"/>
                <w:vertAlign w:val="superscript"/>
              </w:rPr>
              <w:t>[9]</w:t>
            </w:r>
            <w:r>
              <w:rPr>
                <w:rFonts w:ascii="Arial" w:hAnsi="Arial"/>
                <w:b w:val="0"/>
                <w:i w:val="0"/>
                <w:sz w:val="22"/>
              </w:rPr>
              <w:t xml:space="preserve"> Brazil's Marco Legal most advanced pending bill. Chile first to complete UNESCO readiness assessment. Strong equity and vulnerable populations focus aligns with CC mission.</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4. Industry Standards (22 frameworks)</w:t>
            </w:r>
          </w:p>
          <w:p>
            <w:pPr>
              <w:spacing w:before="40" w:after="40" w:line="320" w:lineRule="exact"/>
            </w:pPr>
            <w:r>
              <w:rPr>
                <w:rFonts w:ascii="Arial" w:hAnsi="Arial"/>
                <w:b w:val="0"/>
                <w:i w:val="0"/>
                <w:sz w:val="22"/>
              </w:rPr>
              <w:br/>
            </w:r>
            <w:r>
              <w:rPr>
                <w:rFonts w:ascii="Arial" w:hAnsi="Arial"/>
                <w:b w:val="0"/>
                <w:i w:val="0"/>
                <w:sz w:val="22"/>
              </w:rPr>
              <w:br/>
              <w:t xml:space="preserve">  ISO/IEC 42001 certification accelerating. ISO 23894 (risk) and 38507 (governance) complement it. IEEE P7004 is the only standards project addressing student data governance (currently in development).</w:t>
            </w:r>
            <w:r>
              <w:rPr>
                <w:rFonts w:ascii="Arial" w:hAnsi="Arial"/>
                <w:b w:val="0"/>
                <w:i w:val="0"/>
                <w:color w:val="0066CC"/>
                <w:sz w:val="14"/>
                <w:vertAlign w:val="superscript"/>
              </w:rPr>
              <w:t>[6]</w:t>
            </w:r>
            <w:r>
              <w:rPr>
                <w:rFonts w:ascii="Arial" w:hAnsi="Arial"/>
                <w:b w:val="0"/>
                <w:i w:val="0"/>
                <w:sz w:val="22"/>
              </w:rPr>
              <w:t xml:space="preserve"> NIST GenAI Profile (AI 600-1) addresses LLM risks. AI Verify offers open-source testing capability.</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5. Financial Services (19 frameworks)</w:t>
            </w:r>
          </w:p>
          <w:p>
            <w:pPr>
              <w:spacing w:before="40" w:after="40" w:line="320" w:lineRule="exact"/>
            </w:pPr>
            <w:r>
              <w:rPr>
                <w:rFonts w:ascii="Arial" w:hAnsi="Arial"/>
                <w:b w:val="0"/>
                <w:i w:val="0"/>
                <w:sz w:val="22"/>
              </w:rPr>
              <w:br/>
            </w:r>
            <w:r>
              <w:rPr>
                <w:rFonts w:ascii="Arial" w:hAnsi="Arial"/>
                <w:b w:val="0"/>
                <w:i w:val="0"/>
                <w:sz w:val="22"/>
              </w:rPr>
              <w:br/>
              <w:t xml:space="preserve">  Most operationalized sector governance. MAS Veritas provides "executable ethics" model. EU AI Act classifies credit scoring as high-risk.</w:t>
            </w:r>
            <w:r>
              <w:rPr>
                <w:rFonts w:ascii="Arial" w:hAnsi="Arial"/>
                <w:b w:val="0"/>
                <w:i w:val="0"/>
                <w:color w:val="0066CC"/>
                <w:sz w:val="14"/>
                <w:vertAlign w:val="superscript"/>
              </w:rPr>
              <w:t>[8]</w:t>
            </w:r>
            <w:r>
              <w:rPr>
                <w:rFonts w:ascii="Arial" w:hAnsi="Arial"/>
                <w:b w:val="0"/>
                <w:i w:val="0"/>
                <w:sz w:val="22"/>
              </w:rPr>
              <w:t xml:space="preserve"> CFPB requires specific adverse action reasons. NAIC Model Bulletin offers adaptable governance template.</w:t>
            </w:r>
            <w:r>
              <w:rPr>
                <w:rFonts w:ascii="Arial" w:hAnsi="Arial"/>
                <w:b w:val="0"/>
                <w:i w:val="0"/>
                <w:color w:val="0066CC"/>
                <w:sz w:val="14"/>
                <w:vertAlign w:val="superscript"/>
              </w:rPr>
              <w:t>[2]</w:t>
            </w:r>
            <w:r>
              <w:rPr>
                <w:rFonts w:ascii="Arial" w:hAnsi="Arial"/>
                <w:b w:val="0"/>
                <w:i w:val="0"/>
                <w:sz w:val="22"/>
              </w:rPr>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6. Healthcare (17 frameworks)</w:t>
            </w:r>
          </w:p>
          <w:p>
            <w:pPr>
              <w:spacing w:before="40" w:after="40" w:line="320" w:lineRule="exact"/>
            </w:pPr>
            <w:r>
              <w:rPr>
                <w:rFonts w:ascii="Arial" w:hAnsi="Arial"/>
                <w:b w:val="0"/>
                <w:i w:val="0"/>
                <w:sz w:val="22"/>
              </w:rPr>
              <w:br/>
            </w:r>
            <w:r>
              <w:rPr>
                <w:rFonts w:ascii="Arial" w:hAnsi="Arial"/>
                <w:b w:val="0"/>
                <w:i w:val="0"/>
                <w:sz w:val="22"/>
              </w:rPr>
              <w:br/>
              <w:t xml:space="preserve">  High-stakes parallel to education decisions. WHO LMM guidance addresses GenAI. FDA GMLP harmonizes US/Canada/UK. CHAI assurance framework with "model cards" offers transparency model. NAM Code of Conduct provides six commitments framework.</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7. Defense/Government (20 frameworks)</w:t>
            </w:r>
          </w:p>
          <w:p>
            <w:pPr>
              <w:spacing w:before="40" w:after="40" w:line="320" w:lineRule="exact"/>
            </w:pPr>
            <w:r>
              <w:rPr>
                <w:rFonts w:ascii="Arial" w:hAnsi="Arial"/>
                <w:b w:val="0"/>
                <w:i w:val="0"/>
                <w:sz w:val="22"/>
              </w:rPr>
              <w:br/>
            </w:r>
            <w:r>
              <w:rPr>
                <w:rFonts w:ascii="Arial" w:hAnsi="Arial"/>
                <w:b w:val="0"/>
                <w:i w:val="0"/>
                <w:sz w:val="22"/>
              </w:rPr>
              <w:br/>
              <w:t xml:space="preserve">  OMB M-25-21 current federal policy—explicitly mentions education.</w:t>
            </w:r>
            <w:r>
              <w:rPr>
                <w:rFonts w:ascii="Arial" w:hAnsi="Arial"/>
                <w:b w:val="0"/>
                <w:i w:val="0"/>
                <w:color w:val="0066CC"/>
                <w:sz w:val="14"/>
                <w:vertAlign w:val="superscript"/>
              </w:rPr>
              <w:t>[5]</w:t>
            </w:r>
            <w:r>
              <w:rPr>
                <w:rFonts w:ascii="Arial" w:hAnsi="Arial"/>
                <w:b w:val="0"/>
                <w:i w:val="0"/>
                <w:sz w:val="22"/>
              </w:rPr>
              <w:t xml:space="preserve"> GAO framework provides audit methodology. UK AI Playbook offers 10 principles. AI Handbook for Local Government directly addresses resource-constrained institutions.</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8. Civil Society &amp; Human Rights (17 frameworks)</w:t>
            </w:r>
          </w:p>
          <w:p>
            <w:pPr>
              <w:spacing w:before="40" w:after="40" w:line="320" w:lineRule="exact"/>
            </w:pPr>
            <w:r>
              <w:rPr>
                <w:rFonts w:ascii="Arial" w:hAnsi="Arial"/>
                <w:b w:val="0"/>
                <w:i w:val="0"/>
                <w:sz w:val="22"/>
              </w:rPr>
              <w:br/>
            </w:r>
            <w:r>
              <w:rPr>
                <w:rFonts w:ascii="Arial" w:hAnsi="Arial"/>
                <w:b w:val="0"/>
                <w:i w:val="0"/>
                <w:sz w:val="22"/>
              </w:rPr>
              <w:br/>
              <w:t xml:space="preserve">  Freedom Online Coalition (2025) explicitly addresses education. AI Civil Rights Act would cover educational decisions. Amnesty toolkit enables community oversight. AI Now 2025 report offers critical industry analysis.</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9. Indigenous Data Sovereignty (15 frameworks)</w:t>
            </w:r>
          </w:p>
          <w:p>
            <w:pPr>
              <w:spacing w:before="40" w:after="40" w:line="320" w:lineRule="exact"/>
            </w:pPr>
            <w:r>
              <w:rPr>
                <w:rFonts w:ascii="Arial" w:hAnsi="Arial"/>
                <w:b w:val="0"/>
                <w:i w:val="0"/>
                <w:sz w:val="22"/>
              </w:rPr>
              <w:br/>
            </w:r>
            <w:r>
              <w:rPr>
                <w:rFonts w:ascii="Arial" w:hAnsi="Arial"/>
                <w:b w:val="0"/>
                <w:i w:val="0"/>
                <w:sz w:val="22"/>
              </w:rPr>
              <w:br/>
              <w:t xml:space="preserve">  CARE Principles foundational. OCAP (Canada) and Maiam nayri Wingara (Australia) establish national frameworks. UNESCO Indigenous AI Guidelines bridge data sovereignty and AI. Local Contexts TK Labels offer practical implementation tool.</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10. Frontier AI (16 frameworks)</w:t>
            </w:r>
          </w:p>
          <w:p>
            <w:pPr>
              <w:spacing w:before="40" w:after="40" w:line="320" w:lineRule="exact"/>
            </w:pPr>
            <w:r>
              <w:rPr>
                <w:rFonts w:ascii="Arial" w:hAnsi="Arial"/>
                <w:b w:val="0"/>
                <w:i w:val="0"/>
                <w:sz w:val="22"/>
              </w:rPr>
              <w:br/>
            </w:r>
            <w:r>
              <w:rPr>
                <w:rFonts w:ascii="Arial" w:hAnsi="Arial"/>
                <w:b w:val="0"/>
                <w:i w:val="0"/>
                <w:sz w:val="22"/>
              </w:rPr>
              <w:br/>
              <w:t xml:space="preserve">  Seoul Summit commitments from 20 organizations. International AI Safety Institutes network coordinates government efforts. OpenAI agentic practices paper addresses autonomous systems. Agentic AI Foundation/MCP establishing infrastructure standard.</w:t>
            </w:r>
            <w:r>
              <w:rPr>
                <w:rFonts w:ascii="Arial" w:hAnsi="Arial"/>
                <w:b w:val="0"/>
                <w:i w:val="0"/>
                <w:color w:val="0066CC"/>
                <w:sz w:val="14"/>
                <w:vertAlign w:val="superscript"/>
              </w:rPr>
              <w:t>[23]</w:t>
            </w:r>
            <w:r>
              <w:rPr>
                <w:rFonts w:ascii="Arial" w:hAnsi="Arial"/>
                <w:b w:val="0"/>
                <w:i w:val="0"/>
                <w:sz w:val="22"/>
              </w:rPr>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11. Corporate Governance (13 frameworks)</w:t>
            </w:r>
          </w:p>
          <w:p>
            <w:pPr>
              <w:spacing w:before="40" w:after="40" w:line="320" w:lineRule="exact"/>
            </w:pPr>
            <w:r>
              <w:rPr>
                <w:rFonts w:ascii="Arial" w:hAnsi="Arial"/>
                <w:b w:val="0"/>
                <w:i w:val="0"/>
                <w:sz w:val="22"/>
              </w:rPr>
              <w:br/>
            </w:r>
            <w:r>
              <w:rPr>
                <w:rFonts w:ascii="Arial" w:hAnsi="Arial"/>
                <w:b w:val="0"/>
                <w:i w:val="0"/>
                <w:sz w:val="22"/>
              </w:rPr>
              <w:br/>
              <w:t xml:space="preserve">  Microsoft, Google, IBM publish transparency reports. ISACA COBIT adapts IT governance for AI. Major vendors shape tools CC uses—understanding their governance informs vendor evaluation.</w:t>
              <w:br/>
            </w:r>
          </w:p>
        </w:tc>
      </w:tr>
    </w:tbl>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F8F9FA"/>
              <w:bottom w:sz="4" w:val="single" w:color="F8F9FA"/>
              <w:left w:sz="24" w:val="single" w:color="0066CC"/>
              <w:right w:sz="4" w:val="single" w:color="F8F9FA"/>
            </w:tcBorders>
          </w:tcPr>
          <w:p>
            <w:pPr>
              <w:spacing w:before="40" w:after="40" w:line="320" w:lineRule="exact"/>
            </w:pPr>
            <w:r>
              <w:rPr>
                <w:rFonts w:ascii="Arial" w:hAnsi="Arial"/>
                <w:b/>
                <w:i w:val="0"/>
                <w:color w:val="0066CC"/>
                <w:sz w:val="22"/>
              </w:rPr>
              <w:t>12. Education-Adjacent (22 frameworks)</w:t>
            </w:r>
          </w:p>
          <w:p>
            <w:pPr>
              <w:spacing w:before="40" w:after="40" w:line="320" w:lineRule="exact"/>
            </w:pPr>
            <w:r>
              <w:rPr>
                <w:rFonts w:ascii="Arial" w:hAnsi="Arial"/>
                <w:b w:val="0"/>
                <w:i w:val="0"/>
                <w:sz w:val="22"/>
              </w:rPr>
              <w:br/>
            </w:r>
            <w:r>
              <w:rPr>
                <w:rFonts w:ascii="Arial" w:hAnsi="Arial"/>
                <w:b w:val="0"/>
                <w:i w:val="0"/>
                <w:sz w:val="22"/>
              </w:rPr>
              <w:br/>
              <w:t xml:space="preserve">  EDUCAUSE provides most comprehensive higher ed resources. ASCCC framework directly addresses California CCs.</w:t>
            </w:r>
            <w:r>
              <w:rPr>
                <w:rFonts w:ascii="Arial" w:hAnsi="Arial"/>
                <w:b w:val="0"/>
                <w:i w:val="0"/>
                <w:color w:val="0066CC"/>
                <w:sz w:val="14"/>
                <w:vertAlign w:val="superscript"/>
              </w:rPr>
              <w:t>[19]</w:t>
            </w:r>
            <w:r>
              <w:rPr>
                <w:rFonts w:ascii="Arial" w:hAnsi="Arial"/>
                <w:b w:val="0"/>
                <w:i w:val="0"/>
                <w:sz w:val="22"/>
              </w:rPr>
              <w:t xml:space="preserve"> Achieving the Dream report reflects CC network perspectives.</w:t>
            </w:r>
            <w:r>
              <w:rPr>
                <w:rFonts w:ascii="Arial" w:hAnsi="Arial"/>
                <w:b w:val="0"/>
                <w:i w:val="0"/>
                <w:color w:val="0066CC"/>
                <w:sz w:val="14"/>
                <w:vertAlign w:val="superscript"/>
              </w:rPr>
              <w:t>[1]</w:t>
            </w:r>
            <w:r>
              <w:rPr>
                <w:rFonts w:ascii="Arial" w:hAnsi="Arial"/>
                <w:b w:val="0"/>
                <w:i w:val="0"/>
                <w:sz w:val="22"/>
              </w:rPr>
              <w:t xml:space="preserve"> Advance CTE covers workforce programs. Accreditors (SACSCOC, C-RAC, HLC) developing AI guidance with compliance implications.</w:t>
              <w:br/>
            </w:r>
          </w:p>
        </w:tc>
      </w:tr>
    </w:tbl>
    <w:p>
      <w:pPr>
        <w:pBdr>
          <w:bottom w:val="single" w:sz="4" w:space="1" w:color="CCCCCC"/>
        </w:pBdr>
        <w:spacing w:before="120" w:after="120"/>
      </w:pPr>
    </w:p>
    <w:p>
      <w:pPr>
        <w:spacing w:before="320" w:after="80"/>
        <w:pBdr>
          <w:bottom w:val="single" w:sz="4" w:space="1" w:color="DDDDDD"/>
        </w:pBdr>
      </w:pPr>
      <w:r>
        <w:rPr>
          <w:rFonts w:ascii="Arial" w:hAnsi="Arial"/>
          <w:b/>
          <w:i w:val="0"/>
          <w:color w:val="333333"/>
          <w:sz w:val="28"/>
        </w:rPr>
        <w:t>Highest-Rated Frameworks for CC</w:t>
      </w:r>
    </w:p>
    <w:p>
      <w:pPr>
        <w:spacing w:before="60" w:after="60" w:line="320" w:lineRule="exact"/>
      </w:pPr>
      <w:r>
        <w:rPr>
          <w:rFonts w:ascii="Arial" w:hAnsi="Arial"/>
          <w:b w:val="0"/>
          <w:i w:val="0"/>
          <w:sz w:val="22"/>
        </w:rPr>
        <w:t xml:space="preserve">Top-tier frameworks from both research streams based on detailed extraction and applicability analysis. See full rated inventories in </w:t>
      </w:r>
      <w:r>
        <w:rPr>
          <w:rFonts w:ascii="Arial" w:hAnsi="Arial"/>
          <w:b w:val="0"/>
          <w:i/>
          <w:color w:val="555555"/>
          <w:sz w:val="22"/>
        </w:rPr>
        <w:t>Extracted Framework Profiles</w:t>
      </w:r>
      <w:r>
        <w:rPr>
          <w:rFonts w:ascii="Arial" w:hAnsi="Arial"/>
          <w:b w:val="0"/>
          <w:i w:val="0"/>
          <w:sz w:val="22"/>
        </w:rPr>
        <w:t xml:space="preserve"> (15 global) and </w:t>
      </w:r>
      <w:r>
        <w:rPr>
          <w:rFonts w:ascii="Arial" w:hAnsi="Arial"/>
          <w:b w:val="0"/>
          <w:i/>
          <w:color w:val="555555"/>
          <w:sz w:val="22"/>
        </w:rPr>
        <w:t>Extracted Education Framework Profiles</w:t>
      </w:r>
      <w:r>
        <w:rPr>
          <w:rFonts w:ascii="Arial" w:hAnsi="Arial"/>
          <w:b w:val="0"/>
          <w:i w:val="0"/>
          <w:sz w:val="22"/>
        </w:rPr>
        <w:t xml:space="preserve"> (14 education).</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W w:w="5000" w:type="pct"/>
      </w:tblPr>
      <w:tblGrid>
        <w:gridCol w:w="1872"/>
        <w:gridCol w:w="1872"/>
        <w:gridCol w:w="1872"/>
        <w:gridCol w:w="1872"/>
        <w:gridCol w:w="1872"/>
      </w:tblGrid>
      <w:tr>
        <w:tc>
          <w:tcPr>
            <w:tcW w:type="dxa" w:w="1872"/>
            <w:shd w:fill="F0F0F0" w:val="clear"/>
          </w:tcPr>
          <w:p>
            <w:pPr>
              <w:spacing w:before="40" w:after="40"/>
            </w:pPr>
            <w:r>
              <w:rPr>
                <w:rFonts w:ascii="Arial" w:hAnsi="Arial"/>
                <w:b/>
                <w:i w:val="0"/>
                <w:sz w:val="20"/>
              </w:rPr>
              <w:t>Framework</w:t>
            </w:r>
          </w:p>
        </w:tc>
        <w:tc>
          <w:tcPr>
            <w:tcW w:type="dxa" w:w="1872"/>
            <w:shd w:fill="F0F0F0" w:val="clear"/>
          </w:tcPr>
          <w:p>
            <w:pPr>
              <w:spacing w:before="40" w:after="40"/>
            </w:pPr>
            <w:r>
              <w:rPr>
                <w:rFonts w:ascii="Arial" w:hAnsi="Arial"/>
                <w:b/>
                <w:i w:val="0"/>
                <w:sz w:val="20"/>
              </w:rPr>
              <w:t>Organization</w:t>
            </w:r>
          </w:p>
        </w:tc>
        <w:tc>
          <w:tcPr>
            <w:tcW w:type="dxa" w:w="1872"/>
            <w:shd w:fill="F0F0F0" w:val="clear"/>
          </w:tcPr>
          <w:p>
            <w:pPr>
              <w:spacing w:before="40" w:after="40"/>
            </w:pPr>
            <w:r>
              <w:rPr>
                <w:rFonts w:ascii="Arial" w:hAnsi="Arial"/>
                <w:b/>
                <w:i w:val="0"/>
                <w:sz w:val="20"/>
              </w:rPr>
              <w:t>Year</w:t>
            </w:r>
          </w:p>
        </w:tc>
        <w:tc>
          <w:tcPr>
            <w:tcW w:type="dxa" w:w="1872"/>
            <w:shd w:fill="F0F0F0" w:val="clear"/>
          </w:tcPr>
          <w:p>
            <w:pPr>
              <w:spacing w:before="40" w:after="40"/>
            </w:pPr>
            <w:r>
              <w:rPr>
                <w:rFonts w:ascii="Arial" w:hAnsi="Arial"/>
                <w:b/>
                <w:i w:val="0"/>
                <w:sz w:val="20"/>
              </w:rPr>
              <w:t>Type</w:t>
            </w:r>
          </w:p>
        </w:tc>
        <w:tc>
          <w:tcPr>
            <w:tcW w:type="dxa" w:w="1872"/>
            <w:shd w:fill="F0F0F0" w:val="clear"/>
          </w:tcPr>
          <w:p>
            <w:pPr>
              <w:spacing w:before="40" w:after="40"/>
            </w:pPr>
            <w:r>
              <w:rPr>
                <w:rFonts w:ascii="Arial" w:hAnsi="Arial"/>
                <w:b/>
                <w:i w:val="0"/>
                <w:sz w:val="20"/>
              </w:rPr>
              <w:t>CC Applicability</w:t>
            </w:r>
          </w:p>
        </w:tc>
      </w:tr>
      <w:tr>
        <w:tc>
          <w:tcPr>
            <w:tcW w:type="dxa" w:w="1872"/>
            <w:shd w:fill="E7F3FF" w:val="clear"/>
          </w:tcPr>
          <w:p>
            <w:pPr>
              <w:spacing w:before="40" w:after="40"/>
            </w:pPr>
            <w:r>
              <w:rPr>
                <w:rFonts w:ascii="Arial" w:hAnsi="Arial"/>
                <w:b w:val="0"/>
                <w:i w:val="0"/>
                <w:sz w:val="20"/>
              </w:rPr>
              <w:t>Creating the AI-Enabled Community College</w:t>
            </w:r>
            <w:r>
              <w:br/>
            </w:r>
            <w:r>
              <w:rPr>
                <w:rFonts w:ascii="Arial" w:hAnsi="Arial"/>
                <w:b w:val="0"/>
                <w:i w:val="0"/>
                <w:color w:val="666666"/>
                <w:sz w:val="16"/>
              </w:rPr>
              <w:t>[Global Research]</w:t>
            </w:r>
          </w:p>
        </w:tc>
        <w:tc>
          <w:tcPr>
            <w:tcW w:type="dxa" w:w="1872"/>
            <w:shd w:fill="E7F3FF" w:val="clear"/>
          </w:tcPr>
          <w:p>
            <w:pPr>
              <w:spacing w:before="40" w:after="40"/>
            </w:pPr>
            <w:r>
              <w:rPr>
                <w:rFonts w:ascii="Arial" w:hAnsi="Arial"/>
                <w:b w:val="0"/>
                <w:i w:val="0"/>
                <w:sz w:val="20"/>
              </w:rPr>
              <w:t>Achieving the Dream (ATD)</w:t>
            </w:r>
          </w:p>
        </w:tc>
        <w:tc>
          <w:tcPr>
            <w:tcW w:type="dxa" w:w="1872"/>
            <w:shd w:fill="E7F3FF" w:val="clear"/>
          </w:tcPr>
          <w:p>
            <w:pPr>
              <w:spacing w:before="40" w:after="40"/>
            </w:pPr>
            <w:r>
              <w:rPr>
                <w:rFonts w:ascii="Arial" w:hAnsi="Arial"/>
                <w:b w:val="0"/>
                <w:i w:val="0"/>
                <w:sz w:val="20"/>
              </w:rPr>
              <w:t>2025</w:t>
            </w:r>
          </w:p>
        </w:tc>
        <w:tc>
          <w:tcPr>
            <w:tcW w:type="dxa" w:w="1872"/>
            <w:shd w:fill="E7F3FF" w:val="clear"/>
          </w:tcPr>
          <w:p>
            <w:pPr>
              <w:spacing w:before="40" w:after="40"/>
            </w:pPr>
            <w:r>
              <w:rPr>
                <w:rFonts w:ascii="Arial" w:hAnsi="Arial"/>
                <w:b w:val="0"/>
                <w:i w:val="0"/>
                <w:sz w:val="20"/>
              </w:rPr>
              <w:t>Guidance</w:t>
            </w:r>
          </w:p>
        </w:tc>
        <w:tc>
          <w:tcPr>
            <w:tcW w:type="dxa" w:w="1872"/>
            <w:shd w:fill="E7F3FF" w:val="clear"/>
          </w:tcPr>
          <w:p>
            <w:pPr>
              <w:spacing w:before="40" w:after="40"/>
            </w:pPr>
            <w:r>
              <w:rPr>
                <w:rFonts w:ascii="Arial" w:hAnsi="Arial"/>
                <w:b w:val="0"/>
                <w:i w:val="0"/>
                <w:sz w:val="20"/>
              </w:rPr>
              <w:t>Critical</w:t>
            </w:r>
          </w:p>
        </w:tc>
      </w:tr>
      <w:tr>
        <w:tc>
          <w:tcPr>
            <w:tcW w:type="dxa" w:w="1872"/>
            <w:shd w:fill="E7F3FF" w:val="clear"/>
          </w:tcPr>
          <w:p>
            <w:pPr>
              <w:spacing w:before="40" w:after="40"/>
            </w:pPr>
            <w:r>
              <w:rPr>
                <w:rFonts w:ascii="Arial" w:hAnsi="Arial"/>
                <w:b w:val="0"/>
                <w:i w:val="0"/>
                <w:sz w:val="20"/>
              </w:rPr>
              <w:t>EDUCAUSE AI Governance Resources</w:t>
            </w:r>
            <w:r>
              <w:br/>
            </w:r>
            <w:r>
              <w:rPr>
                <w:rFonts w:ascii="Arial" w:hAnsi="Arial"/>
                <w:b w:val="0"/>
                <w:i w:val="0"/>
                <w:color w:val="666666"/>
                <w:sz w:val="16"/>
              </w:rPr>
              <w:t>[Global Research]</w:t>
            </w:r>
          </w:p>
        </w:tc>
        <w:tc>
          <w:tcPr>
            <w:tcW w:type="dxa" w:w="1872"/>
            <w:shd w:fill="E7F3FF" w:val="clear"/>
          </w:tcPr>
          <w:p>
            <w:pPr>
              <w:spacing w:before="40" w:after="40"/>
            </w:pPr>
            <w:r>
              <w:rPr>
                <w:rFonts w:ascii="Arial" w:hAnsi="Arial"/>
                <w:b w:val="0"/>
                <w:i w:val="0"/>
                <w:sz w:val="20"/>
              </w:rPr>
              <w:t>EDUCAUSE</w:t>
            </w:r>
          </w:p>
        </w:tc>
        <w:tc>
          <w:tcPr>
            <w:tcW w:type="dxa" w:w="1872"/>
            <w:shd w:fill="E7F3FF" w:val="clear"/>
          </w:tcPr>
          <w:p>
            <w:pPr>
              <w:spacing w:before="40" w:after="40"/>
            </w:pPr>
            <w:r>
              <w:rPr>
                <w:rFonts w:ascii="Arial" w:hAnsi="Arial"/>
                <w:b w:val="0"/>
                <w:i w:val="0"/>
                <w:sz w:val="20"/>
              </w:rPr>
              <w:t>2024–2025</w:t>
            </w:r>
          </w:p>
        </w:tc>
        <w:tc>
          <w:tcPr>
            <w:tcW w:type="dxa" w:w="1872"/>
            <w:shd w:fill="E7F3FF" w:val="clear"/>
          </w:tcPr>
          <w:p>
            <w:pPr>
              <w:spacing w:before="40" w:after="40"/>
            </w:pPr>
            <w:r>
              <w:rPr>
                <w:rFonts w:ascii="Arial" w:hAnsi="Arial"/>
                <w:b w:val="0"/>
                <w:i w:val="0"/>
                <w:sz w:val="20"/>
              </w:rPr>
              <w:t>Guidance</w:t>
            </w:r>
          </w:p>
        </w:tc>
        <w:tc>
          <w:tcPr>
            <w:tcW w:type="dxa" w:w="1872"/>
            <w:shd w:fill="E7F3FF" w:val="clear"/>
          </w:tcPr>
          <w:p>
            <w:pPr>
              <w:spacing w:before="40" w:after="40"/>
            </w:pPr>
            <w:r>
              <w:rPr>
                <w:rFonts w:ascii="Arial" w:hAnsi="Arial"/>
                <w:b w:val="0"/>
                <w:i w:val="0"/>
                <w:sz w:val="20"/>
              </w:rPr>
              <w:t>Critical</w:t>
            </w:r>
          </w:p>
        </w:tc>
      </w:tr>
      <w:tr>
        <w:tc>
          <w:tcPr>
            <w:tcW w:type="dxa" w:w="1872"/>
            <w:shd w:fill="E7F3FF" w:val="clear"/>
          </w:tcPr>
          <w:p>
            <w:pPr>
              <w:spacing w:before="40" w:after="40"/>
            </w:pPr>
            <w:r>
              <w:rPr>
                <w:rFonts w:ascii="Arial" w:hAnsi="Arial"/>
                <w:b w:val="0"/>
                <w:i w:val="0"/>
                <w:sz w:val="20"/>
              </w:rPr>
              <w:t>SACSCOC/C-RAC AI Guidance for Accreditation</w:t>
            </w:r>
            <w:r>
              <w:br/>
            </w:r>
            <w:r>
              <w:rPr>
                <w:rFonts w:ascii="Arial" w:hAnsi="Arial"/>
                <w:b w:val="0"/>
                <w:i w:val="0"/>
                <w:color w:val="666666"/>
                <w:sz w:val="16"/>
              </w:rPr>
              <w:t>[Global Research]</w:t>
            </w:r>
          </w:p>
        </w:tc>
        <w:tc>
          <w:tcPr>
            <w:tcW w:type="dxa" w:w="1872"/>
            <w:shd w:fill="E7F3FF" w:val="clear"/>
          </w:tcPr>
          <w:p>
            <w:pPr>
              <w:spacing w:before="40" w:after="40"/>
            </w:pPr>
            <w:r>
              <w:rPr>
                <w:rFonts w:ascii="Arial" w:hAnsi="Arial"/>
                <w:b w:val="0"/>
                <w:i w:val="0"/>
                <w:sz w:val="20"/>
              </w:rPr>
              <w:t>SACSCOC / C-RAC</w:t>
            </w:r>
          </w:p>
        </w:tc>
        <w:tc>
          <w:tcPr>
            <w:tcW w:type="dxa" w:w="1872"/>
            <w:shd w:fill="E7F3FF" w:val="clear"/>
          </w:tcPr>
          <w:p>
            <w:pPr>
              <w:spacing w:before="40" w:after="40"/>
            </w:pPr>
            <w:r>
              <w:rPr>
                <w:rFonts w:ascii="Arial" w:hAnsi="Arial"/>
                <w:b w:val="0"/>
                <w:i w:val="0"/>
                <w:sz w:val="20"/>
              </w:rPr>
              <w:t>2024–2025</w:t>
            </w:r>
          </w:p>
        </w:tc>
        <w:tc>
          <w:tcPr>
            <w:tcW w:type="dxa" w:w="1872"/>
            <w:shd w:fill="E7F3FF" w:val="clear"/>
          </w:tcPr>
          <w:p>
            <w:pPr>
              <w:spacing w:before="40" w:after="40"/>
            </w:pPr>
            <w:r>
              <w:rPr>
                <w:rFonts w:ascii="Arial" w:hAnsi="Arial"/>
                <w:b w:val="0"/>
                <w:i w:val="0"/>
                <w:sz w:val="20"/>
              </w:rPr>
              <w:t>Guidance</w:t>
            </w:r>
          </w:p>
        </w:tc>
        <w:tc>
          <w:tcPr>
            <w:tcW w:type="dxa" w:w="1872"/>
            <w:shd w:fill="E7F3FF" w:val="clear"/>
          </w:tcPr>
          <w:p>
            <w:pPr>
              <w:spacing w:before="40" w:after="40"/>
            </w:pPr>
            <w:r>
              <w:rPr>
                <w:rFonts w:ascii="Arial" w:hAnsi="Arial"/>
                <w:b w:val="0"/>
                <w:i w:val="0"/>
                <w:sz w:val="20"/>
              </w:rPr>
              <w:t>Critical</w:t>
            </w:r>
          </w:p>
        </w:tc>
      </w:tr>
      <w:tr>
        <w:tc>
          <w:tcPr>
            <w:tcW w:type="dxa" w:w="1872"/>
            <w:shd w:fill="E7F3FF" w:val="clear"/>
          </w:tcPr>
          <w:p>
            <w:pPr>
              <w:spacing w:before="40" w:after="40"/>
            </w:pPr>
            <w:r>
              <w:rPr>
                <w:rFonts w:ascii="Arial" w:hAnsi="Arial"/>
                <w:b w:val="0"/>
                <w:i w:val="0"/>
                <w:sz w:val="20"/>
              </w:rPr>
              <w:t>AI Handbook for Local Government</w:t>
            </w:r>
            <w:r>
              <w:br/>
            </w:r>
            <w:r>
              <w:rPr>
                <w:rFonts w:ascii="Arial" w:hAnsi="Arial"/>
                <w:b w:val="0"/>
                <w:i w:val="0"/>
                <w:color w:val="666666"/>
                <w:sz w:val="16"/>
              </w:rPr>
              <w:t>[Global Research]</w:t>
            </w:r>
          </w:p>
        </w:tc>
        <w:tc>
          <w:tcPr>
            <w:tcW w:type="dxa" w:w="1872"/>
            <w:shd w:fill="E7F3FF" w:val="clear"/>
          </w:tcPr>
          <w:p>
            <w:pPr>
              <w:spacing w:before="40" w:after="40"/>
            </w:pPr>
            <w:r>
              <w:rPr>
                <w:rFonts w:ascii="Arial" w:hAnsi="Arial"/>
                <w:b w:val="0"/>
                <w:i w:val="0"/>
                <w:sz w:val="20"/>
              </w:rPr>
              <w:t>U. Michigan STPP / MI Municipal League</w:t>
            </w:r>
          </w:p>
        </w:tc>
        <w:tc>
          <w:tcPr>
            <w:tcW w:type="dxa" w:w="1872"/>
            <w:shd w:fill="E7F3FF" w:val="clear"/>
          </w:tcPr>
          <w:p>
            <w:pPr>
              <w:spacing w:before="40" w:after="40"/>
            </w:pPr>
            <w:r>
              <w:rPr>
                <w:rFonts w:ascii="Arial" w:hAnsi="Arial"/>
                <w:b w:val="0"/>
                <w:i w:val="0"/>
                <w:sz w:val="20"/>
              </w:rPr>
              <w:t>2024</w:t>
            </w:r>
          </w:p>
        </w:tc>
        <w:tc>
          <w:tcPr>
            <w:tcW w:type="dxa" w:w="1872"/>
            <w:shd w:fill="E7F3FF" w:val="clear"/>
          </w:tcPr>
          <w:p>
            <w:pPr>
              <w:spacing w:before="40" w:after="40"/>
            </w:pPr>
            <w:r>
              <w:rPr>
                <w:rFonts w:ascii="Arial" w:hAnsi="Arial"/>
                <w:b w:val="0"/>
                <w:i w:val="0"/>
                <w:sz w:val="20"/>
              </w:rPr>
              <w:t>Toolkit</w:t>
            </w:r>
          </w:p>
        </w:tc>
        <w:tc>
          <w:tcPr>
            <w:tcW w:type="dxa" w:w="1872"/>
            <w:shd w:fill="E7F3FF" w:val="clear"/>
          </w:tcPr>
          <w:p>
            <w:pPr>
              <w:spacing w:before="40" w:after="40"/>
            </w:pPr>
            <w:r>
              <w:rPr>
                <w:rFonts w:ascii="Arial" w:hAnsi="Arial"/>
                <w:b w:val="0"/>
                <w:i w:val="0"/>
                <w:sz w:val="20"/>
              </w:rPr>
              <w:t>Critical</w:t>
            </w:r>
          </w:p>
        </w:tc>
      </w:tr>
      <w:tr>
        <w:tc>
          <w:tcPr>
            <w:tcW w:type="dxa" w:w="1872"/>
            <w:shd w:fill="E7F3FF" w:val="clear"/>
          </w:tcPr>
          <w:p>
            <w:pPr>
              <w:spacing w:before="40" w:after="40"/>
            </w:pPr>
            <w:r>
              <w:rPr>
                <w:rFonts w:ascii="Arial" w:hAnsi="Arial"/>
                <w:b w:val="0"/>
                <w:i w:val="0"/>
                <w:sz w:val="20"/>
              </w:rPr>
              <w:t>Singapore Agentic AI Framework</w:t>
            </w:r>
            <w:r>
              <w:br/>
            </w:r>
            <w:r>
              <w:rPr>
                <w:rFonts w:ascii="Arial" w:hAnsi="Arial"/>
                <w:b w:val="0"/>
                <w:i w:val="0"/>
                <w:color w:val="666666"/>
                <w:sz w:val="16"/>
              </w:rPr>
              <w:t>[Global Research]</w:t>
            </w:r>
          </w:p>
        </w:tc>
        <w:tc>
          <w:tcPr>
            <w:tcW w:type="dxa" w:w="1872"/>
            <w:shd w:fill="E7F3FF" w:val="clear"/>
          </w:tcPr>
          <w:p>
            <w:pPr>
              <w:spacing w:before="40" w:after="40"/>
            </w:pPr>
            <w:r>
              <w:rPr>
                <w:rFonts w:ascii="Arial" w:hAnsi="Arial"/>
                <w:b w:val="0"/>
                <w:i w:val="0"/>
                <w:sz w:val="20"/>
              </w:rPr>
              <w:t>IMDA / CSA / GovTech Singapore</w:t>
            </w:r>
          </w:p>
        </w:tc>
        <w:tc>
          <w:tcPr>
            <w:tcW w:type="dxa" w:w="1872"/>
            <w:shd w:fill="E7F3FF" w:val="clear"/>
          </w:tcPr>
          <w:p>
            <w:pPr>
              <w:spacing w:before="40" w:after="40"/>
            </w:pPr>
            <w:r>
              <w:rPr>
                <w:rFonts w:ascii="Arial" w:hAnsi="Arial"/>
                <w:b w:val="0"/>
                <w:i w:val="0"/>
                <w:sz w:val="20"/>
              </w:rPr>
              <w:t>2025–2026</w:t>
            </w:r>
          </w:p>
        </w:tc>
        <w:tc>
          <w:tcPr>
            <w:tcW w:type="dxa" w:w="1872"/>
            <w:shd w:fill="E7F3FF" w:val="clear"/>
          </w:tcPr>
          <w:p>
            <w:pPr>
              <w:spacing w:before="40" w:after="40"/>
            </w:pPr>
            <w:r>
              <w:rPr>
                <w:rFonts w:ascii="Arial" w:hAnsi="Arial"/>
                <w:b w:val="0"/>
                <w:i w:val="0"/>
                <w:sz w:val="20"/>
              </w:rPr>
              <w:t>Guidance</w:t>
            </w:r>
          </w:p>
        </w:tc>
        <w:tc>
          <w:tcPr>
            <w:tcW w:type="dxa" w:w="1872"/>
            <w:shd w:fill="E7F3FF" w:val="clear"/>
          </w:tcPr>
          <w:p>
            <w:pPr>
              <w:spacing w:before="40" w:after="40"/>
            </w:pPr>
            <w:r>
              <w:rPr>
                <w:rFonts w:ascii="Arial" w:hAnsi="Arial"/>
                <w:b w:val="0"/>
                <w:i w:val="0"/>
                <w:sz w:val="20"/>
              </w:rPr>
              <w:t>Critical</w:t>
            </w:r>
          </w:p>
        </w:tc>
      </w:tr>
      <w:tr>
        <w:tc>
          <w:tcPr>
            <w:tcW w:type="dxa" w:w="1872"/>
            <w:shd w:fill="D4EDDA" w:val="clear"/>
          </w:tcPr>
          <w:p>
            <w:pPr>
              <w:spacing w:before="40" w:after="40"/>
            </w:pPr>
            <w:r>
              <w:rPr>
                <w:rFonts w:ascii="Arial" w:hAnsi="Arial"/>
                <w:b w:val="0"/>
                <w:i w:val="0"/>
                <w:sz w:val="20"/>
              </w:rPr>
              <w:t>AI in K-12 Policy Template</w:t>
            </w:r>
            <w:r>
              <w:br/>
            </w:r>
            <w:r>
              <w:rPr>
                <w:rFonts w:ascii="Arial" w:hAnsi="Arial"/>
                <w:b w:val="0"/>
                <w:i w:val="0"/>
                <w:color w:val="666666"/>
                <w:sz w:val="16"/>
              </w:rPr>
              <w:t>[Education Inventory]</w:t>
            </w:r>
          </w:p>
        </w:tc>
        <w:tc>
          <w:tcPr>
            <w:tcW w:type="dxa" w:w="1872"/>
            <w:shd w:fill="D4EDDA" w:val="clear"/>
          </w:tcPr>
          <w:p>
            <w:pPr>
              <w:spacing w:before="40" w:after="40"/>
            </w:pPr>
            <w:r>
              <w:rPr>
                <w:rFonts w:ascii="Arial" w:hAnsi="Arial"/>
                <w:b w:val="0"/>
                <w:i w:val="0"/>
                <w:sz w:val="20"/>
              </w:rPr>
              <w:t>Alabama State DOE</w:t>
            </w:r>
          </w:p>
        </w:tc>
        <w:tc>
          <w:tcPr>
            <w:tcW w:type="dxa" w:w="1872"/>
            <w:shd w:fill="D4EDDA" w:val="clear"/>
          </w:tcPr>
          <w:p>
            <w:pPr>
              <w:spacing w:before="40" w:after="40"/>
            </w:pPr>
            <w:r>
              <w:rPr>
                <w:rFonts w:ascii="Arial" w:hAnsi="Arial"/>
                <w:b w:val="0"/>
                <w:i w:val="0"/>
                <w:sz w:val="20"/>
              </w:rPr>
              <w:t>2024</w:t>
            </w:r>
          </w:p>
        </w:tc>
        <w:tc>
          <w:tcPr>
            <w:tcW w:type="dxa" w:w="1872"/>
            <w:shd w:fill="D4EDDA" w:val="clear"/>
          </w:tcPr>
          <w:p>
            <w:pPr>
              <w:spacing w:before="40" w:after="40"/>
            </w:pPr>
            <w:r>
              <w:rPr>
                <w:rFonts w:ascii="Arial" w:hAnsi="Arial"/>
                <w:b w:val="0"/>
                <w:i w:val="0"/>
                <w:sz w:val="20"/>
              </w:rPr>
              <w:t>Policy</w:t>
            </w:r>
          </w:p>
        </w:tc>
        <w:tc>
          <w:tcPr>
            <w:tcW w:type="dxa" w:w="1872"/>
            <w:shd w:fill="D4EDDA" w:val="clear"/>
          </w:tcPr>
          <w:p>
            <w:pPr>
              <w:spacing w:before="40" w:after="40"/>
            </w:pPr>
            <w:r>
              <w:rPr>
                <w:rFonts w:ascii="Arial" w:hAnsi="Arial"/>
                <w:b w:val="0"/>
                <w:i w:val="0"/>
                <w:sz w:val="20"/>
              </w:rPr>
              <w:t>High</w:t>
            </w:r>
          </w:p>
        </w:tc>
      </w:tr>
      <w:tr>
        <w:tc>
          <w:tcPr>
            <w:tcW w:type="dxa" w:w="1872"/>
            <w:shd w:fill="D4EDDA" w:val="clear"/>
          </w:tcPr>
          <w:p>
            <w:pPr>
              <w:spacing w:before="40" w:after="40"/>
            </w:pPr>
            <w:r>
              <w:rPr>
                <w:rFonts w:ascii="Arial" w:hAnsi="Arial"/>
                <w:b w:val="0"/>
                <w:i w:val="0"/>
                <w:sz w:val="20"/>
              </w:rPr>
              <w:t>AI Literacy Framework</w:t>
            </w:r>
            <w:r>
              <w:br/>
            </w:r>
            <w:r>
              <w:rPr>
                <w:rFonts w:ascii="Arial" w:hAnsi="Arial"/>
                <w:b w:val="0"/>
                <w:i w:val="0"/>
                <w:color w:val="666666"/>
                <w:sz w:val="16"/>
              </w:rPr>
              <w:t>[Education Inventory]</w:t>
            </w:r>
          </w:p>
        </w:tc>
        <w:tc>
          <w:tcPr>
            <w:tcW w:type="dxa" w:w="1872"/>
            <w:shd w:fill="D4EDDA" w:val="clear"/>
          </w:tcPr>
          <w:p>
            <w:pPr>
              <w:spacing w:before="40" w:after="40"/>
            </w:pPr>
            <w:r>
              <w:rPr>
                <w:rFonts w:ascii="Arial" w:hAnsi="Arial"/>
                <w:b w:val="0"/>
                <w:i w:val="0"/>
                <w:sz w:val="20"/>
              </w:rPr>
              <w:t>Digital Education Council</w:t>
            </w:r>
          </w:p>
        </w:tc>
        <w:tc>
          <w:tcPr>
            <w:tcW w:type="dxa" w:w="1872"/>
            <w:shd w:fill="D4EDDA" w:val="clear"/>
          </w:tcPr>
          <w:p>
            <w:pPr>
              <w:spacing w:before="40" w:after="40"/>
            </w:pPr>
            <w:r>
              <w:rPr>
                <w:rFonts w:ascii="Arial" w:hAnsi="Arial"/>
                <w:b w:val="0"/>
                <w:i w:val="0"/>
                <w:sz w:val="20"/>
              </w:rPr>
              <w:t>2024</w:t>
            </w:r>
          </w:p>
        </w:tc>
        <w:tc>
          <w:tcPr>
            <w:tcW w:type="dxa" w:w="1872"/>
            <w:shd w:fill="D4EDDA" w:val="clear"/>
          </w:tcPr>
          <w:p>
            <w:pPr>
              <w:spacing w:before="40" w:after="40"/>
            </w:pPr>
            <w:r>
              <w:rPr>
                <w:rFonts w:ascii="Arial" w:hAnsi="Arial"/>
                <w:b w:val="0"/>
                <w:i w:val="0"/>
                <w:sz w:val="20"/>
              </w:rPr>
              <w:t>Competency</w:t>
            </w:r>
          </w:p>
        </w:tc>
        <w:tc>
          <w:tcPr>
            <w:tcW w:type="dxa" w:w="1872"/>
            <w:shd w:fill="D4EDDA" w:val="clear"/>
          </w:tcPr>
          <w:p>
            <w:pPr>
              <w:spacing w:before="40" w:after="40"/>
            </w:pPr>
            <w:r>
              <w:rPr>
                <w:rFonts w:ascii="Arial" w:hAnsi="Arial"/>
                <w:b w:val="0"/>
                <w:i w:val="0"/>
                <w:sz w:val="20"/>
              </w:rPr>
              <w:t>High</w:t>
            </w:r>
          </w:p>
        </w:tc>
      </w:tr>
      <w:tr>
        <w:tc>
          <w:tcPr>
            <w:tcW w:type="dxa" w:w="1872"/>
            <w:shd w:fill="D4EDDA" w:val="clear"/>
          </w:tcPr>
          <w:p>
            <w:pPr>
              <w:spacing w:before="40" w:after="40"/>
            </w:pPr>
            <w:r>
              <w:rPr>
                <w:rFonts w:ascii="Arial" w:hAnsi="Arial"/>
                <w:b w:val="0"/>
                <w:i w:val="0"/>
                <w:sz w:val="20"/>
              </w:rPr>
              <w:t>Responsible AI and Tech Justice</w:t>
            </w:r>
            <w:r>
              <w:br/>
            </w:r>
            <w:r>
              <w:rPr>
                <w:rFonts w:ascii="Arial" w:hAnsi="Arial"/>
                <w:b w:val="0"/>
                <w:i w:val="0"/>
                <w:color w:val="666666"/>
                <w:sz w:val="16"/>
              </w:rPr>
              <w:t>[Education Inventory]</w:t>
            </w:r>
          </w:p>
        </w:tc>
        <w:tc>
          <w:tcPr>
            <w:tcW w:type="dxa" w:w="1872"/>
            <w:shd w:fill="D4EDDA" w:val="clear"/>
          </w:tcPr>
          <w:p>
            <w:pPr>
              <w:spacing w:before="40" w:after="40"/>
            </w:pPr>
            <w:r>
              <w:rPr>
                <w:rFonts w:ascii="Arial" w:hAnsi="Arial"/>
                <w:b w:val="0"/>
                <w:i w:val="0"/>
                <w:sz w:val="20"/>
              </w:rPr>
              <w:t>Kapor Foundation</w:t>
            </w:r>
          </w:p>
        </w:tc>
        <w:tc>
          <w:tcPr>
            <w:tcW w:type="dxa" w:w="1872"/>
            <w:shd w:fill="D4EDDA" w:val="clear"/>
          </w:tcPr>
          <w:p>
            <w:pPr>
              <w:spacing w:before="40" w:after="40"/>
            </w:pPr>
            <w:r>
              <w:rPr>
                <w:rFonts w:ascii="Arial" w:hAnsi="Arial"/>
                <w:b w:val="0"/>
                <w:i w:val="0"/>
                <w:sz w:val="20"/>
              </w:rPr>
              <w:t>2024</w:t>
            </w:r>
          </w:p>
        </w:tc>
        <w:tc>
          <w:tcPr>
            <w:tcW w:type="dxa" w:w="1872"/>
            <w:shd w:fill="D4EDDA" w:val="clear"/>
          </w:tcPr>
          <w:p>
            <w:pPr>
              <w:spacing w:before="40" w:after="40"/>
            </w:pPr>
            <w:r>
              <w:rPr>
                <w:rFonts w:ascii="Arial" w:hAnsi="Arial"/>
                <w:b w:val="0"/>
                <w:i w:val="0"/>
                <w:sz w:val="20"/>
              </w:rPr>
              <w:t>Toolkit</w:t>
            </w:r>
          </w:p>
        </w:tc>
        <w:tc>
          <w:tcPr>
            <w:tcW w:type="dxa" w:w="1872"/>
            <w:shd w:fill="D4EDDA" w:val="clear"/>
          </w:tcPr>
          <w:p>
            <w:pPr>
              <w:spacing w:before="40" w:after="40"/>
            </w:pPr>
            <w:r>
              <w:rPr>
                <w:rFonts w:ascii="Arial" w:hAnsi="Arial"/>
                <w:b w:val="0"/>
                <w:i w:val="0"/>
                <w:sz w:val="20"/>
              </w:rPr>
              <w:t>High</w:t>
            </w:r>
          </w:p>
        </w:tc>
      </w:tr>
      <w:tr>
        <w:tc>
          <w:tcPr>
            <w:tcW w:type="dxa" w:w="1872"/>
            <w:shd w:fill="D4EDDA" w:val="clear"/>
          </w:tcPr>
          <w:p>
            <w:pPr>
              <w:spacing w:before="40" w:after="40"/>
            </w:pPr>
            <w:r>
              <w:rPr>
                <w:rFonts w:ascii="Arial" w:hAnsi="Arial"/>
                <w:b w:val="0"/>
                <w:i w:val="0"/>
                <w:sz w:val="20"/>
              </w:rPr>
              <w:t>Bloom's Taxonomy Revisited for GenAI</w:t>
            </w:r>
            <w:r>
              <w:br/>
            </w:r>
            <w:r>
              <w:rPr>
                <w:rFonts w:ascii="Arial" w:hAnsi="Arial"/>
                <w:b w:val="0"/>
                <w:i w:val="0"/>
                <w:color w:val="666666"/>
                <w:sz w:val="16"/>
              </w:rPr>
              <w:t>[Education Inventory]</w:t>
            </w:r>
          </w:p>
        </w:tc>
        <w:tc>
          <w:tcPr>
            <w:tcW w:type="dxa" w:w="1872"/>
            <w:shd w:fill="D4EDDA" w:val="clear"/>
          </w:tcPr>
          <w:p>
            <w:pPr>
              <w:spacing w:before="40" w:after="40"/>
            </w:pPr>
            <w:r>
              <w:rPr>
                <w:rFonts w:ascii="Arial" w:hAnsi="Arial"/>
                <w:b w:val="0"/>
                <w:i w:val="0"/>
                <w:sz w:val="20"/>
              </w:rPr>
              <w:t>Oregon State University</w:t>
            </w:r>
          </w:p>
        </w:tc>
        <w:tc>
          <w:tcPr>
            <w:tcW w:type="dxa" w:w="1872"/>
            <w:shd w:fill="D4EDDA" w:val="clear"/>
          </w:tcPr>
          <w:p>
            <w:pPr>
              <w:spacing w:before="40" w:after="40"/>
            </w:pPr>
            <w:r>
              <w:rPr>
                <w:rFonts w:ascii="Arial" w:hAnsi="Arial"/>
                <w:b w:val="0"/>
                <w:i w:val="0"/>
                <w:sz w:val="20"/>
              </w:rPr>
              <w:t>2024</w:t>
            </w:r>
          </w:p>
        </w:tc>
        <w:tc>
          <w:tcPr>
            <w:tcW w:type="dxa" w:w="1872"/>
            <w:shd w:fill="D4EDDA" w:val="clear"/>
          </w:tcPr>
          <w:p>
            <w:pPr>
              <w:spacing w:before="40" w:after="40"/>
            </w:pPr>
            <w:r>
              <w:rPr>
                <w:rFonts w:ascii="Arial" w:hAnsi="Arial"/>
                <w:b w:val="0"/>
                <w:i w:val="0"/>
                <w:sz w:val="20"/>
              </w:rPr>
              <w:t>Toolkit</w:t>
            </w:r>
          </w:p>
        </w:tc>
        <w:tc>
          <w:tcPr>
            <w:tcW w:type="dxa" w:w="1872"/>
            <w:shd w:fill="D4EDDA" w:val="clear"/>
          </w:tcPr>
          <w:p>
            <w:pPr>
              <w:spacing w:before="40" w:after="40"/>
            </w:pPr>
            <w:r>
              <w:rPr>
                <w:rFonts w:ascii="Arial" w:hAnsi="Arial"/>
                <w:b w:val="0"/>
                <w:i w:val="0"/>
                <w:sz w:val="20"/>
              </w:rPr>
              <w:t>High</w:t>
            </w:r>
          </w:p>
        </w:tc>
      </w:tr>
      <w:tr>
        <w:tc>
          <w:tcPr>
            <w:tcW w:type="dxa" w:w="1872"/>
            <w:shd w:fill="D4EDDA" w:val="clear"/>
          </w:tcPr>
          <w:p>
            <w:pPr>
              <w:spacing w:before="40" w:after="40"/>
            </w:pPr>
            <w:r>
              <w:rPr>
                <w:rFonts w:ascii="Arial" w:hAnsi="Arial"/>
                <w:b w:val="0"/>
                <w:i w:val="0"/>
                <w:sz w:val="20"/>
              </w:rPr>
              <w:t>AI Guidance for Schools Toolkit</w:t>
            </w:r>
            <w:r>
              <w:br/>
            </w:r>
            <w:r>
              <w:rPr>
                <w:rFonts w:ascii="Arial" w:hAnsi="Arial"/>
                <w:b w:val="0"/>
                <w:i w:val="0"/>
                <w:color w:val="666666"/>
                <w:sz w:val="16"/>
              </w:rPr>
              <w:t>[Education Inventory]</w:t>
            </w:r>
          </w:p>
        </w:tc>
        <w:tc>
          <w:tcPr>
            <w:tcW w:type="dxa" w:w="1872"/>
            <w:shd w:fill="D4EDDA" w:val="clear"/>
          </w:tcPr>
          <w:p>
            <w:pPr>
              <w:spacing w:before="40" w:after="40"/>
            </w:pPr>
            <w:r>
              <w:rPr>
                <w:rFonts w:ascii="Arial" w:hAnsi="Arial"/>
                <w:b w:val="0"/>
                <w:i w:val="0"/>
                <w:sz w:val="20"/>
              </w:rPr>
              <w:t>TeachAI</w:t>
            </w:r>
          </w:p>
        </w:tc>
        <w:tc>
          <w:tcPr>
            <w:tcW w:type="dxa" w:w="1872"/>
            <w:shd w:fill="D4EDDA" w:val="clear"/>
          </w:tcPr>
          <w:p>
            <w:pPr>
              <w:spacing w:before="40" w:after="40"/>
            </w:pPr>
            <w:r>
              <w:rPr>
                <w:rFonts w:ascii="Arial" w:hAnsi="Arial"/>
                <w:b w:val="0"/>
                <w:i w:val="0"/>
                <w:sz w:val="20"/>
              </w:rPr>
              <w:t>2024</w:t>
            </w:r>
          </w:p>
        </w:tc>
        <w:tc>
          <w:tcPr>
            <w:tcW w:type="dxa" w:w="1872"/>
            <w:shd w:fill="D4EDDA" w:val="clear"/>
          </w:tcPr>
          <w:p>
            <w:pPr>
              <w:spacing w:before="40" w:after="40"/>
            </w:pPr>
            <w:r>
              <w:rPr>
                <w:rFonts w:ascii="Arial" w:hAnsi="Arial"/>
                <w:b w:val="0"/>
                <w:i w:val="0"/>
                <w:sz w:val="20"/>
              </w:rPr>
              <w:t>Toolkit</w:t>
            </w:r>
          </w:p>
        </w:tc>
        <w:tc>
          <w:tcPr>
            <w:tcW w:type="dxa" w:w="1872"/>
            <w:shd w:fill="D4EDDA" w:val="clear"/>
          </w:tcPr>
          <w:p>
            <w:pPr>
              <w:spacing w:before="40" w:after="40"/>
            </w:pPr>
            <w:r>
              <w:rPr>
                <w:rFonts w:ascii="Arial" w:hAnsi="Arial"/>
                <w:b w:val="0"/>
                <w:i w:val="0"/>
                <w:sz w:val="20"/>
              </w:rPr>
              <w:t>High</w:t>
            </w:r>
          </w:p>
        </w:tc>
      </w:tr>
      <w:tr>
        <w:tc>
          <w:tcPr>
            <w:tcW w:type="dxa" w:w="1872"/>
            <w:shd w:fill="D4EDDA" w:val="clear"/>
          </w:tcPr>
          <w:p>
            <w:pPr>
              <w:spacing w:before="40" w:after="40"/>
            </w:pPr>
            <w:r>
              <w:rPr>
                <w:rFonts w:ascii="Arial" w:hAnsi="Arial"/>
                <w:b w:val="0"/>
                <w:i w:val="0"/>
                <w:sz w:val="20"/>
              </w:rPr>
              <w:t>The Ethical Framework for AI in Education</w:t>
            </w:r>
            <w:r>
              <w:br/>
            </w:r>
            <w:r>
              <w:rPr>
                <w:rFonts w:ascii="Arial" w:hAnsi="Arial"/>
                <w:b w:val="0"/>
                <w:i w:val="0"/>
                <w:color w:val="666666"/>
                <w:sz w:val="16"/>
              </w:rPr>
              <w:t>[Education Inventory]</w:t>
            </w:r>
          </w:p>
        </w:tc>
        <w:tc>
          <w:tcPr>
            <w:tcW w:type="dxa" w:w="1872"/>
            <w:shd w:fill="D4EDDA" w:val="clear"/>
          </w:tcPr>
          <w:p>
            <w:pPr>
              <w:spacing w:before="40" w:after="40"/>
            </w:pPr>
            <w:r>
              <w:rPr>
                <w:rFonts w:ascii="Arial" w:hAnsi="Arial"/>
                <w:b w:val="0"/>
                <w:i w:val="0"/>
                <w:sz w:val="20"/>
              </w:rPr>
              <w:t>Institute for Ethical AI in Education</w:t>
            </w:r>
          </w:p>
        </w:tc>
        <w:tc>
          <w:tcPr>
            <w:tcW w:type="dxa" w:w="1872"/>
            <w:shd w:fill="D4EDDA" w:val="clear"/>
          </w:tcPr>
          <w:p>
            <w:pPr>
              <w:spacing w:before="40" w:after="40"/>
            </w:pPr>
            <w:r>
              <w:rPr>
                <w:rFonts w:ascii="Arial" w:hAnsi="Arial"/>
                <w:b w:val="0"/>
                <w:i w:val="0"/>
                <w:sz w:val="20"/>
              </w:rPr>
              <w:t>2021</w:t>
            </w:r>
          </w:p>
        </w:tc>
        <w:tc>
          <w:tcPr>
            <w:tcW w:type="dxa" w:w="1872"/>
            <w:shd w:fill="D4EDDA" w:val="clear"/>
          </w:tcPr>
          <w:p>
            <w:pPr>
              <w:spacing w:before="40" w:after="40"/>
            </w:pPr>
            <w:r>
              <w:rPr>
                <w:rFonts w:ascii="Arial" w:hAnsi="Arial"/>
                <w:b w:val="0"/>
                <w:i w:val="0"/>
                <w:sz w:val="20"/>
              </w:rPr>
              <w:t>Framework</w:t>
            </w:r>
          </w:p>
        </w:tc>
        <w:tc>
          <w:tcPr>
            <w:tcW w:type="dxa" w:w="1872"/>
            <w:shd w:fill="D4EDDA" w:val="clear"/>
          </w:tcPr>
          <w:p>
            <w:pPr>
              <w:spacing w:before="40" w:after="40"/>
            </w:pPr>
            <w:r>
              <w:rPr>
                <w:rFonts w:ascii="Arial" w:hAnsi="Arial"/>
                <w:b w:val="0"/>
                <w:i w:val="0"/>
                <w:sz w:val="20"/>
              </w:rPr>
              <w:t>High</w:t>
            </w:r>
          </w:p>
        </w:tc>
      </w:tr>
    </w:tbl>
    <w:p>
      <w:pPr>
        <w:spacing w:before="60" w:after="60" w:line="320" w:lineRule="exact"/>
      </w:pPr>
      <w:r>
        <w:rPr>
          <w:rFonts w:ascii="Arial" w:hAnsi="Arial"/>
          <w:b/>
          <w:i w:val="0"/>
          <w:sz w:val="22"/>
        </w:rPr>
        <w:t>Critical</w:t>
      </w:r>
      <w:r>
        <w:rPr>
          <w:rFonts w:ascii="Arial" w:hAnsi="Arial"/>
          <w:b w:val="0"/>
          <w:i w:val="0"/>
          <w:sz w:val="22"/>
        </w:rPr>
        <w:t xml:space="preserve"> (blue) — Directly addresses CC contexts or provides essential governance structure.</w:t>
      </w:r>
      <w:r>
        <w:br/>
      </w:r>
      <w:r>
        <w:rPr>
          <w:rFonts w:ascii="Arial" w:hAnsi="Arial"/>
          <w:b w:val="0"/>
          <w:i w:val="0"/>
          <w:sz w:val="22"/>
        </w:rPr>
        <w:br/>
      </w:r>
      <w:r>
        <w:rPr>
          <w:rFonts w:ascii="Arial" w:hAnsi="Arial"/>
          <w:b/>
          <w:i w:val="0"/>
          <w:sz w:val="22"/>
        </w:rPr>
        <w:t>High</w:t>
      </w:r>
      <w:r>
        <w:rPr>
          <w:rFonts w:ascii="Arial" w:hAnsi="Arial"/>
          <w:b w:val="0"/>
          <w:i w:val="0"/>
          <w:sz w:val="22"/>
        </w:rPr>
        <w:t xml:space="preserve"> (green) — Directly usable structure or essential perspective for CC context.</w:t>
      </w:r>
    </w:p>
    <w:p>
      <w:pPr>
        <w:spacing w:before="60" w:after="60" w:line="320" w:lineRule="exact"/>
      </w:pPr>
      <w:r>
        <w:rPr>
          <w:rFonts w:ascii="Arial" w:hAnsi="Arial"/>
          <w:b w:val="0"/>
          <w:i/>
          <w:color w:val="555555"/>
          <w:sz w:val="22"/>
        </w:rPr>
        <w:t xml:space="preserve">An additional 6 global frameworks rated </w:t>
      </w:r>
      <w:r>
        <w:rPr>
          <w:rFonts w:ascii="Arial" w:hAnsi="Arial"/>
          <w:b/>
          <w:i w:val="0"/>
          <w:sz w:val="22"/>
        </w:rPr>
        <w:t>High</w:t>
      </w:r>
      <w:r>
        <w:rPr>
          <w:rFonts w:ascii="Arial" w:hAnsi="Arial"/>
          <w:b w:val="0"/>
          <w:i/>
          <w:color w:val="555555"/>
          <w:sz w:val="22"/>
        </w:rPr>
        <w:t xml:space="preserve"> (ASCCC, IEEE P7004, OMB M-25-21, GAO, NIST AI 600-1, NAIC) and 6 education frameworks rated </w:t>
      </w:r>
      <w:r>
        <w:rPr>
          <w:rFonts w:ascii="Arial" w:hAnsi="Arial"/>
          <w:b/>
          <w:i w:val="0"/>
          <w:sz w:val="22"/>
        </w:rPr>
        <w:t>Medium</w:t>
      </w:r>
      <w:r>
        <w:rPr>
          <w:rFonts w:ascii="Arial" w:hAnsi="Arial"/>
          <w:b w:val="0"/>
          <w:i/>
          <w:color w:val="555555"/>
          <w:sz w:val="22"/>
        </w:rPr>
        <w:t xml:space="preserve"> provide valuable supporting elements. Full ratings in companion extraction documents.</w:t>
      </w:r>
    </w:p>
    <w:p>
      <w:pPr>
        <w:pBdr>
          <w:bottom w:val="single" w:sz="4" w:space="1" w:color="CCCCCC"/>
        </w:pBdr>
        <w:spacing w:before="120" w:after="120"/>
      </w:pPr>
    </w:p>
    <w:p>
      <w:pPr>
        <w:spacing w:before="320" w:after="80"/>
        <w:pBdr>
          <w:bottom w:val="single" w:sz="4" w:space="1" w:color="DDDDDD"/>
        </w:pBdr>
      </w:pPr>
      <w:r>
        <w:rPr>
          <w:rFonts w:ascii="Arial" w:hAnsi="Arial"/>
          <w:b/>
          <w:i w:val="0"/>
          <w:color w:val="333333"/>
          <w:sz w:val="28"/>
        </w:rPr>
        <w:t>Confirmed Gaps</w:t>
      </w:r>
    </w:p>
    <w:tbl>
      <w:tblPr>
        <w:tblW w:type="auto" w:w="0"/>
        <w:jc w:val="center"/>
        <w:tblLook w:firstColumn="1" w:firstRow="1" w:lastColumn="0" w:lastRow="0" w:noHBand="0" w:noVBand="1" w:val="04A0"/>
        <w:tblW w:w="5000" w:type="pct"/>
      </w:tblPr>
      <w:tblGrid>
        <w:gridCol w:w="9360"/>
      </w:tblGrid>
      <w:tr>
        <w:tc>
          <w:tcPr>
            <w:tcW w:type="dxa" w:w="9360"/>
            <w:shd w:fill="F8D7DA" w:val="clear"/>
            <w:tcBorders>
              <w:top w:sz="4" w:val="single" w:color="CC0000"/>
              <w:bottom w:sz="4" w:val="single" w:color="CC0000"/>
              <w:left w:sz="4" w:val="single" w:color="CC0000"/>
              <w:right w:sz="4" w:val="single" w:color="CC0000"/>
            </w:tcBorders>
          </w:tcPr>
          <w:p>
            <w:r>
              <w:rPr>
                <w:rFonts w:ascii="Arial" w:hAnsi="Arial"/>
                <w:b/>
                <w:i w:val="0"/>
                <w:sz w:val="22"/>
              </w:rPr>
              <w:t>No authoritative frameworks exist for:</w:t>
            </w:r>
          </w:p>
          <w:p>
            <w:pPr>
              <w:spacing w:before="20" w:after="20" w:line="320" w:lineRule="exact"/>
            </w:pPr>
            <w:r>
              <w:rPr>
                <w:rFonts w:ascii="Arial" w:hAnsi="Arial"/>
                <w:b w:val="0"/>
                <w:i w:val="0"/>
                <w:sz w:val="22"/>
              </w:rPr>
              <w:t xml:space="preserve">  •  </w:t>
            </w:r>
            <w:r>
              <w:rPr>
                <w:rFonts w:ascii="Arial" w:hAnsi="Arial"/>
                <w:b w:val="0"/>
                <w:i w:val="0"/>
                <w:sz w:val="22"/>
              </w:rPr>
              <w:t>Community college-specific AI governance (partially addressed by ASCCC and ATD, but no comprehensive CC governance standard exists)</w:t>
            </w:r>
          </w:p>
          <w:p>
            <w:pPr>
              <w:spacing w:before="20" w:after="20" w:line="320" w:lineRule="exact"/>
            </w:pPr>
            <w:r>
              <w:rPr>
                <w:rFonts w:ascii="Arial" w:hAnsi="Arial"/>
                <w:b w:val="0"/>
                <w:i w:val="0"/>
                <w:sz w:val="22"/>
              </w:rPr>
              <w:t xml:space="preserve">  •  </w:t>
            </w:r>
            <w:r>
              <w:rPr>
                <w:rFonts w:ascii="Arial" w:hAnsi="Arial"/>
                <w:b w:val="0"/>
                <w:i w:val="0"/>
                <w:sz w:val="22"/>
              </w:rPr>
              <w:t>Adult learner/non-traditional student AI contexts</w:t>
            </w:r>
          </w:p>
          <w:p>
            <w:pPr>
              <w:spacing w:before="20" w:after="20" w:line="320" w:lineRule="exact"/>
            </w:pPr>
            <w:r>
              <w:rPr>
                <w:rFonts w:ascii="Arial" w:hAnsi="Arial"/>
                <w:b w:val="0"/>
                <w:i w:val="0"/>
                <w:sz w:val="22"/>
              </w:rPr>
              <w:t xml:space="preserve">  •  </w:t>
            </w:r>
            <w:r>
              <w:rPr>
                <w:rFonts w:ascii="Arial" w:hAnsi="Arial"/>
                <w:b w:val="0"/>
                <w:i w:val="0"/>
                <w:sz w:val="22"/>
              </w:rPr>
              <w:t>Dual enrollment AI governance (K-12/higher ed intersection)</w:t>
            </w:r>
          </w:p>
          <w:p>
            <w:pPr>
              <w:spacing w:before="20" w:after="20" w:line="320" w:lineRule="exact"/>
            </w:pPr>
            <w:r>
              <w:rPr>
                <w:rFonts w:ascii="Arial" w:hAnsi="Arial"/>
                <w:b w:val="0"/>
                <w:i w:val="0"/>
                <w:sz w:val="22"/>
              </w:rPr>
              <w:t xml:space="preserve">  •  </w:t>
            </w:r>
            <w:r>
              <w:rPr>
                <w:rFonts w:ascii="Arial" w:hAnsi="Arial"/>
                <w:b w:val="0"/>
                <w:i w:val="0"/>
                <w:sz w:val="22"/>
              </w:rPr>
              <w:t>Non-credit/continuing education AI</w:t>
            </w:r>
          </w:p>
          <w:p>
            <w:pPr>
              <w:spacing w:before="20" w:after="20" w:line="320" w:lineRule="exact"/>
            </w:pPr>
            <w:r>
              <w:rPr>
                <w:rFonts w:ascii="Arial" w:hAnsi="Arial"/>
                <w:b w:val="0"/>
                <w:i w:val="0"/>
                <w:sz w:val="22"/>
              </w:rPr>
              <w:t xml:space="preserve">  •  </w:t>
            </w:r>
            <w:r>
              <w:rPr>
                <w:rFonts w:ascii="Arial" w:hAnsi="Arial"/>
                <w:b w:val="0"/>
                <w:i w:val="0"/>
                <w:sz w:val="22"/>
              </w:rPr>
              <w:t>Adjunct/contingent faculty AI implications</w:t>
            </w:r>
          </w:p>
          <w:p>
            <w:pPr>
              <w:spacing w:before="20" w:after="20" w:line="320" w:lineRule="exact"/>
            </w:pPr>
            <w:r>
              <w:rPr>
                <w:rFonts w:ascii="Arial" w:hAnsi="Arial"/>
                <w:b w:val="0"/>
                <w:i w:val="0"/>
                <w:sz w:val="22"/>
              </w:rPr>
              <w:t xml:space="preserve">  •  </w:t>
            </w:r>
            <w:r>
              <w:rPr>
                <w:rFonts w:ascii="Arial" w:hAnsi="Arial"/>
                <w:b w:val="0"/>
                <w:i w:val="0"/>
                <w:sz w:val="22"/>
              </w:rPr>
              <w:t>Student-facing agentic AI (tutoring agents, advising bots)</w:t>
            </w:r>
          </w:p>
          <w:p>
            <w:pPr>
              <w:spacing w:before="20" w:after="20" w:line="320" w:lineRule="exact"/>
            </w:pPr>
            <w:r>
              <w:rPr>
                <w:rFonts w:ascii="Arial" w:hAnsi="Arial"/>
                <w:b w:val="0"/>
                <w:i w:val="0"/>
                <w:sz w:val="22"/>
              </w:rPr>
              <w:t xml:space="preserve">  •  </w:t>
            </w:r>
            <w:r>
              <w:rPr>
                <w:rFonts w:ascii="Arial" w:hAnsi="Arial"/>
                <w:b w:val="0"/>
                <w:i w:val="0"/>
                <w:sz w:val="22"/>
              </w:rPr>
              <w:t>Transfer student AI (articulation, credit evaluation)</w:t>
            </w:r>
          </w:p>
          <w:p>
            <w:pPr>
              <w:spacing w:before="20" w:after="20" w:line="320" w:lineRule="exact"/>
            </w:pPr>
            <w:r>
              <w:rPr>
                <w:rFonts w:ascii="Arial" w:hAnsi="Arial"/>
                <w:b w:val="0"/>
                <w:i w:val="0"/>
                <w:sz w:val="22"/>
              </w:rPr>
              <w:t xml:space="preserve">  •  </w:t>
            </w:r>
            <w:r>
              <w:rPr>
                <w:rFonts w:ascii="Arial" w:hAnsi="Arial"/>
                <w:b w:val="0"/>
                <w:i w:val="0"/>
                <w:sz w:val="22"/>
              </w:rPr>
              <w:t>Disability/accessibility in AI (Alabama template and ASCCC include accessibility provisions, but no dedicated AI accessibility governance framework exists)</w:t>
            </w:r>
          </w:p>
          <w:p>
            <w:pPr>
              <w:spacing w:before="20" w:after="20" w:line="320" w:lineRule="exact"/>
            </w:pPr>
            <w:r>
              <w:rPr>
                <w:rFonts w:ascii="Arial" w:hAnsi="Arial"/>
                <w:b w:val="0"/>
                <w:i w:val="0"/>
                <w:sz w:val="22"/>
              </w:rPr>
              <w:t xml:space="preserve">  •  </w:t>
            </w:r>
            <w:r>
              <w:rPr>
                <w:rFonts w:ascii="Arial" w:hAnsi="Arial"/>
                <w:b w:val="0"/>
                <w:i w:val="0"/>
                <w:sz w:val="22"/>
              </w:rPr>
              <w:t>Small organization implementation pathways (the AI Handbook for Local Government partially addresses resource-constrained contexts, but no education-specific guidance exists)</w:t>
            </w:r>
          </w:p>
        </w:tc>
      </w:tr>
    </w:tbl>
    <w:p>
      <w:pPr>
        <w:pBdr>
          <w:bottom w:val="single" w:sz="4" w:space="1" w:color="CCCCCC"/>
        </w:pBdr>
        <w:spacing w:before="120" w:after="120"/>
      </w:pPr>
    </w:p>
    <w:p>
      <w:pPr>
        <w:spacing w:before="320" w:after="80"/>
        <w:pBdr>
          <w:bottom w:val="single" w:sz="4" w:space="1" w:color="DDDDDD"/>
        </w:pBdr>
      </w:pPr>
      <w:r>
        <w:rPr>
          <w:rFonts w:ascii="Arial" w:hAnsi="Arial"/>
          <w:b/>
          <w:i w:val="0"/>
          <w:color w:val="333333"/>
          <w:sz w:val="28"/>
        </w:rPr>
        <w:t>Project Data Files</w:t>
      </w:r>
    </w:p>
    <w:p>
      <w:pPr>
        <w:spacing w:before="160" w:after="80"/>
      </w:pPr>
      <w:r>
        <w:rPr>
          <w:rFonts w:ascii="Arial" w:hAnsi="Arial"/>
          <w:b/>
          <w:i w:val="0"/>
          <w:color w:val="333333"/>
          <w:sz w:val="22"/>
        </w:rPr>
        <w:t>Global AI Governance Research — 12 candidate files, 14 extractions</w:t>
      </w:r>
    </w:p>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DDDDDD"/>
              <w:bottom w:sz="4" w:val="single" w:color="DDDDDD"/>
              <w:left w:sz="4" w:val="single" w:color="DDDDDD"/>
              <w:right w:sz="4" w:val="single" w:color="DDDDDD"/>
            </w:tcBorders>
          </w:tcPr>
          <w:p>
            <w:pPr>
              <w:spacing w:before="80" w:after="80"/>
            </w:pPr>
            <w:r>
              <w:rPr>
                <w:rFonts w:ascii="Courier New" w:hAnsi="Courier New"/>
                <w:b w:val="0"/>
                <w:i w:val="0"/>
                <w:color w:val="444444"/>
                <w:sz w:val="16"/>
              </w:rPr>
              <w:t>global-ai-governance-research/</w:t>
              <w:br/>
              <w:t>├── data/</w:t>
              <w:br/>
              <w:t>│   ├── candidates/                          # Phase 1: Discovery (12 domains, ~224 frameworks)</w:t>
              <w:br/>
              <w:t>│   │   ├── africa.json</w:t>
              <w:br/>
              <w:t>│   │   ├── asia-pacific.json</w:t>
              <w:br/>
              <w:t>│   │   ├── civil-society.json</w:t>
              <w:br/>
              <w:t>│   │   ├── corporate-governance.json</w:t>
              <w:br/>
              <w:t>│   │   ├── defense-government.json</w:t>
              <w:br/>
              <w:t>│   │   ├── education-adjacent.json</w:t>
              <w:br/>
              <w:t>│   │   ├── financial-services.json</w:t>
              <w:br/>
              <w:t>│   │   ├── frontier-ai.json</w:t>
              <w:br/>
              <w:t>│   │   ├── healthcare.json</w:t>
              <w:br/>
              <w:t>│   │   ├── indigenous-data-sovereignty.json</w:t>
              <w:br/>
              <w:t>│   │   ├── industry-standards.json</w:t>
              <w:br/>
              <w:t>│   │   └── latin-america.json</w:t>
              <w:br/>
              <w:t>│   │</w:t>
              <w:br/>
              <w:t>│   └── extracted/                           # Phase 2: 14 framework extractions</w:t>
              <w:br/>
              <w:t>│       ├── advance-cte-ai-integration.json</w:t>
              <w:br/>
              <w:t>│       ├── ai-handbook-local-government.json</w:t>
              <w:br/>
              <w:t>│       ├── asccc-ai-policy.json</w:t>
              <w:br/>
              <w:t>│       ├── atd-ai-task-force.json</w:t>
              <w:br/>
              <w:t>│       ├── educause-ai-resources.json</w:t>
              <w:br/>
              <w:t>│       ├── freedom-online-coalition-ai-statement.json</w:t>
              <w:br/>
              <w:t>│       ├── gao-ai-accountability-framework.json</w:t>
              <w:br/>
              <w:t>│       ├── ieee-7004-student-data.json</w:t>
              <w:br/>
              <w:t>│       ├── naic-model-bulletin-ai.json</w:t>
              <w:br/>
              <w:t>│       ├── nist-ai-600-1-genai-profile.json</w:t>
              <w:br/>
              <w:t>│       ├── omb-m-25-21.json</w:t>
              <w:br/>
              <w:t>│       ├── sacscoc-crac-ai-guidance.json</w:t>
              <w:br/>
              <w:t>│       ├── singapore-agentic-ai.json</w:t>
              <w:br/>
              <w:t>│       └── unesco-indigenous-ai-guidelines.json</w:t>
            </w:r>
          </w:p>
        </w:tc>
      </w:tr>
    </w:tbl>
    <w:p>
      <w:pPr>
        <w:spacing w:before="160" w:after="80"/>
      </w:pPr>
      <w:r>
        <w:rPr>
          <w:rFonts w:ascii="Arial" w:hAnsi="Arial"/>
          <w:b/>
          <w:i w:val="0"/>
          <w:color w:val="333333"/>
          <w:sz w:val="22"/>
        </w:rPr>
        <w:t>Education Framework Inventory — 1 candidate file, 14 extractions</w:t>
      </w:r>
    </w:p>
    <w:tbl>
      <w:tblPr>
        <w:tblW w:type="auto" w:w="0"/>
        <w:jc w:val="center"/>
        <w:tblLook w:firstColumn="1" w:firstRow="1" w:lastColumn="0" w:lastRow="0" w:noHBand="0" w:noVBand="1" w:val="04A0"/>
        <w:tblW w:w="5000" w:type="pct"/>
      </w:tblPr>
      <w:tblGrid>
        <w:gridCol w:w="9360"/>
      </w:tblGrid>
      <w:tr>
        <w:tc>
          <w:tcPr>
            <w:tcW w:type="dxa" w:w="9360"/>
            <w:shd w:fill="F8F9FA" w:val="clear"/>
            <w:tcBorders>
              <w:top w:sz="4" w:val="single" w:color="DDDDDD"/>
              <w:bottom w:sz="4" w:val="single" w:color="DDDDDD"/>
              <w:left w:sz="4" w:val="single" w:color="DDDDDD"/>
              <w:right w:sz="4" w:val="single" w:color="DDDDDD"/>
            </w:tcBorders>
          </w:tcPr>
          <w:p>
            <w:pPr>
              <w:spacing w:before="80" w:after="80"/>
            </w:pPr>
            <w:r>
              <w:rPr>
                <w:rFonts w:ascii="Courier New" w:hAnsi="Courier New"/>
                <w:b w:val="0"/>
                <w:i w:val="0"/>
                <w:color w:val="444444"/>
                <w:sz w:val="16"/>
              </w:rPr>
              <w:t>ai-framework-inventory/</w:t>
              <w:br/>
              <w:t>├── data/</w:t>
              <w:br/>
              <w:t>│   ├── candidates/                          # Phase 1: Discovery</w:t>
              <w:br/>
              <w:t>│   │   └── candidates-from-project-knowledge.json</w:t>
              <w:br/>
              <w:t>│   │</w:t>
              <w:br/>
              <w:t>│   ├── extracted/                           # Phase 2: 14 framework extractions</w:t>
              <w:br/>
              <w:t>│   │   ├── alabama-ai-policy-template.json</w:t>
              <w:br/>
              <w:t>│   │   ├── colorado-ai-roadmap.json</w:t>
              <w:br/>
              <w:t>│   │   ├── dec-ai-literacy-framework.json</w:t>
              <w:br/>
              <w:t>│   │   ├── ieaied-ethical-framework.json</w:t>
              <w:br/>
              <w:t>│   │   ├── kapor-responsible-ai-tech-justice.json</w:t>
              <w:br/>
              <w:t>│   │   ├── khan-academy-khanmigo.json</w:t>
              <w:br/>
              <w:t>│   │   ├── magicschool-governance.json</w:t>
              <w:br/>
              <w:t>│   │   ├── nten-genai-policy-template.json</w:t>
              <w:br/>
              <w:t>│   │   ├── oecd-ec-ailit-framework.json</w:t>
              <w:br/>
              <w:t>│   │   ├── osu-blooms-taxonomy-genai.json</w:t>
              <w:br/>
              <w:t>│   │   ├── teachai-toolkit.json</w:t>
              <w:br/>
              <w:t>│   │   ├── unesco-ai-competency-students.json</w:t>
              <w:br/>
              <w:t>│   │   ├── unesco-ai-competency-teachers.json</w:t>
              <w:br/>
              <w:t>│   │   └── wef-teachai-7-principles.json</w:t>
              <w:br/>
              <w:t>│   │</w:t>
              <w:br/>
              <w:t>│   └── inventory.json                       # Combined inventory data</w:t>
            </w:r>
          </w:p>
        </w:tc>
      </w:tr>
    </w:tbl>
    <w:p>
      <w:pPr>
        <w:spacing w:before="320" w:after="80"/>
        <w:pBdr>
          <w:bottom w:val="single" w:sz="4" w:space="1" w:color="DDDDDD"/>
        </w:pBdr>
      </w:pPr>
      <w:r>
        <w:rPr>
          <w:rFonts w:ascii="Arial" w:hAnsi="Arial"/>
          <w:b/>
          <w:i w:val="0"/>
          <w:color w:val="333333"/>
          <w:sz w:val="28"/>
        </w:rPr>
        <w:t>Next Steps</w:t>
      </w:r>
    </w:p>
    <w:tbl>
      <w:tblPr>
        <w:tblW w:type="auto" w:w="0"/>
        <w:jc w:val="center"/>
        <w:tblLook w:firstColumn="1" w:firstRow="1" w:lastColumn="0" w:lastRow="0" w:noHBand="0" w:noVBand="1" w:val="04A0"/>
        <w:tblW w:w="5000" w:type="pct"/>
      </w:tblPr>
      <w:tblGrid>
        <w:gridCol w:w="9360"/>
      </w:tblGrid>
      <w:tr>
        <w:tc>
          <w:tcPr>
            <w:tcW w:type="dxa" w:w="9360"/>
            <w:shd w:fill="D4EDDA" w:val="clear"/>
            <w:tcBorders>
              <w:top w:sz="4" w:val="single" w:color="D4EDDA"/>
              <w:bottom w:sz="4" w:val="single" w:color="D4EDDA"/>
              <w:left w:sz="24" w:val="single" w:color="28A745"/>
              <w:right w:sz="4" w:val="single" w:color="D4EDDA"/>
            </w:tcBorders>
          </w:tcPr>
          <w:p>
            <w:r>
              <w:rPr>
                <w:rFonts w:ascii="Arial" w:hAnsi="Arial"/>
                <w:b/>
                <w:i w:val="0"/>
                <w:sz w:val="22"/>
              </w:rPr>
              <w:t>Phase 3: Analysis</w:t>
            </w:r>
          </w:p>
          <w:p>
            <w:pPr>
              <w:spacing w:before="40" w:after="40" w:line="320" w:lineRule="exact"/>
            </w:pPr>
            <w:r>
              <w:rPr>
                <w:rFonts w:ascii="Arial" w:hAnsi="Arial"/>
                <w:b w:val="0"/>
                <w:i w:val="0"/>
                <w:sz w:val="22"/>
              </w:rPr>
              <w:t xml:space="preserve"> — Map frameworks to CC governance needs, identify adaptable elements</w:t>
            </w:r>
            <w:r>
              <w:br/>
            </w:r>
            <w:r>
              <w:br/>
            </w:r>
            <w:r>
              <w:rPr>
                <w:rFonts w:ascii="Arial" w:hAnsi="Arial"/>
                <w:b/>
                <w:i w:val="0"/>
                <w:sz w:val="22"/>
              </w:rPr>
              <w:t>Phase 4: Synthesis</w:t>
            </w:r>
          </w:p>
          <w:p>
            <w:pPr>
              <w:spacing w:before="40" w:after="40" w:line="320" w:lineRule="exact"/>
            </w:pPr>
            <w:r>
              <w:rPr>
                <w:rFonts w:ascii="Arial" w:hAnsi="Arial"/>
                <w:b w:val="0"/>
                <w:i w:val="0"/>
                <w:sz w:val="22"/>
              </w:rPr>
              <w:t xml:space="preserve"> — Develop CC-specific recommendations incorporating global best practices</w:t>
              <w:br/>
            </w:r>
          </w:p>
        </w:tc>
      </w:tr>
    </w:tbl>
    <w:p>
      <w:pPr>
        <w:pBdr>
          <w:bottom w:val="single" w:sz="4" w:space="1" w:color="CCCCCC"/>
        </w:pBdr>
        <w:spacing w:before="120" w:after="120"/>
      </w:pPr>
    </w:p>
    <w:p>
      <w:pPr>
        <w:spacing w:before="320" w:after="80"/>
        <w:pBdr>
          <w:bottom w:val="single" w:sz="4" w:space="1" w:color="DDDDDD"/>
        </w:pBdr>
      </w:pPr>
      <w:r>
        <w:rPr>
          <w:rFonts w:ascii="Arial" w:hAnsi="Arial"/>
          <w:b/>
          <w:i w:val="0"/>
          <w:color w:val="333333"/>
          <w:sz w:val="28"/>
        </w:rPr>
        <w:t>Questions for the Group</w:t>
      </w:r>
    </w:p>
    <w:tbl>
      <w:tblPr>
        <w:tblW w:type="auto" w:w="0"/>
        <w:jc w:val="center"/>
        <w:tblLook w:firstColumn="1" w:firstRow="1" w:lastColumn="0" w:lastRow="0" w:noHBand="0" w:noVBand="1" w:val="04A0"/>
        <w:tblW w:w="5000" w:type="pct"/>
      </w:tblPr>
      <w:tblGrid>
        <w:gridCol w:w="9360"/>
      </w:tblGrid>
      <w:tr>
        <w:tc>
          <w:tcPr>
            <w:tcW w:type="dxa" w:w="9360"/>
            <w:shd w:fill="E7F3FF" w:val="clear"/>
            <w:tcBorders>
              <w:top w:sz="4" w:val="single" w:color="0066CC"/>
              <w:bottom w:sz="4" w:val="single" w:color="0066CC"/>
              <w:left w:sz="4" w:val="single" w:color="0066CC"/>
              <w:right w:sz="4" w:val="single" w:color="0066CC"/>
            </w:tcBorders>
          </w:tcPr>
          <w:p>
            <w:pPr>
              <w:spacing w:before="20" w:after="20" w:line="320" w:lineRule="exact"/>
            </w:pPr>
            <w:r>
              <w:rPr>
                <w:rFonts w:ascii="Arial" w:hAnsi="Arial"/>
                <w:b w:val="0"/>
                <w:i w:val="0"/>
                <w:sz w:val="22"/>
              </w:rPr>
              <w:t xml:space="preserve">1. </w:t>
            </w:r>
            <w:r>
              <w:rPr>
                <w:rFonts w:ascii="Arial" w:hAnsi="Arial"/>
                <w:b w:val="0"/>
                <w:i w:val="0"/>
                <w:sz w:val="22"/>
              </w:rPr>
              <w:t>Are there frameworks we should add?</w:t>
            </w:r>
          </w:p>
          <w:p>
            <w:pPr>
              <w:spacing w:before="20" w:after="20" w:line="320" w:lineRule="exact"/>
            </w:pPr>
            <w:r>
              <w:rPr>
                <w:rFonts w:ascii="Arial" w:hAnsi="Arial"/>
                <w:b w:val="0"/>
                <w:i w:val="0"/>
                <w:sz w:val="22"/>
              </w:rPr>
              <w:t xml:space="preserve">2. </w:t>
            </w:r>
            <w:r>
              <w:rPr>
                <w:rFonts w:ascii="Arial" w:hAnsi="Arial"/>
                <w:b w:val="0"/>
                <w:i w:val="0"/>
                <w:sz w:val="22"/>
              </w:rPr>
              <w:t>Do these CC gap priorities match our understanding?</w:t>
            </w:r>
          </w:p>
          <w:p>
            <w:pPr>
              <w:spacing w:before="20" w:after="20" w:line="320" w:lineRule="exact"/>
            </w:pPr>
            <w:r>
              <w:rPr>
                <w:rFonts w:ascii="Arial" w:hAnsi="Arial"/>
                <w:b w:val="0"/>
                <w:i w:val="0"/>
                <w:sz w:val="22"/>
              </w:rPr>
              <w:t xml:space="preserve">3. </w:t>
            </w:r>
            <w:r>
              <w:rPr>
                <w:rFonts w:ascii="Arial" w:hAnsi="Arial"/>
                <w:b w:val="0"/>
                <w:i w:val="0"/>
                <w:sz w:val="22"/>
              </w:rPr>
              <w:t>Which recommendations should we prioritize?</w:t>
            </w:r>
          </w:p>
          <w:p>
            <w:pPr>
              <w:spacing w:before="20" w:after="20" w:line="320" w:lineRule="exact"/>
            </w:pPr>
            <w:r>
              <w:rPr>
                <w:rFonts w:ascii="Arial" w:hAnsi="Arial"/>
                <w:b w:val="0"/>
                <w:i w:val="0"/>
                <w:sz w:val="22"/>
              </w:rPr>
              <w:t xml:space="preserve">4. </w:t>
            </w:r>
            <w:r>
              <w:rPr>
                <w:rFonts w:ascii="Arial" w:hAnsi="Arial"/>
                <w:b w:val="0"/>
                <w:i w:val="0"/>
                <w:sz w:val="22"/>
              </w:rPr>
              <w:t>Who else should validate these findings?</w:t>
            </w:r>
          </w:p>
        </w:tc>
      </w:tr>
    </w:tbl>
    <w:p>
      <w:pPr>
        <w:pBdr>
          <w:bottom w:val="single" w:sz="4" w:space="1" w:color="CCCCCC"/>
        </w:pBdr>
        <w:spacing w:before="120" w:after="120"/>
      </w:pPr>
    </w:p>
    <w:p>
      <w:pPr>
        <w:spacing w:before="320" w:after="80"/>
        <w:pBdr>
          <w:bottom w:val="single" w:sz="4" w:space="1" w:color="DDDDDD"/>
        </w:pBdr>
      </w:pPr>
      <w:r>
        <w:rPr>
          <w:rFonts w:ascii="Arial" w:hAnsi="Arial"/>
          <w:b/>
          <w:i w:val="0"/>
          <w:color w:val="333333"/>
          <w:sz w:val="28"/>
        </w:rPr>
        <w:t>Sources</w:t>
      </w:r>
    </w:p>
    <w:p>
      <w:pPr>
        <w:spacing w:before="20" w:after="60" w:line="280" w:lineRule="exact"/>
      </w:pPr>
      <w:r>
        <w:rPr>
          <w:rFonts w:ascii="Arial" w:hAnsi="Arial"/>
          <w:b/>
          <w:i w:val="0"/>
          <w:color w:val="444444"/>
          <w:sz w:val="18"/>
        </w:rPr>
        <w:t xml:space="preserve">[1] </w:t>
      </w:r>
      <w:r>
        <w:rPr>
          <w:rFonts w:ascii="Arial" w:hAnsi="Arial"/>
          <w:b w:val="0"/>
          <w:i w:val="0"/>
          <w:color w:val="444444"/>
          <w:sz w:val="18"/>
        </w:rPr>
        <w:t xml:space="preserve">Achieving the Dream, </w:t>
      </w:r>
      <w:r>
        <w:rPr>
          <w:rFonts w:ascii="Arial" w:hAnsi="Arial"/>
          <w:b w:val="0"/>
          <w:i/>
          <w:color w:val="444444"/>
          <w:sz w:val="18"/>
        </w:rPr>
        <w:t>Creating the AI-Enabled Community College: AI for All Task Force Report</w:t>
      </w:r>
      <w:r>
        <w:rPr>
          <w:rFonts w:ascii="Arial" w:hAnsi="Arial"/>
          <w:b w:val="0"/>
          <w:i w:val="0"/>
          <w:color w:val="444444"/>
          <w:sz w:val="18"/>
        </w:rPr>
        <w:t xml:space="preserve"> (July 2025). </w:t>
      </w:r>
      <w:hyperlink r:id="rId21">
        <w:r>
          <w:rPr>
            <w:rStyle w:val="Hyperlink"/>
            <w:rFonts w:ascii="Arial" w:hAnsi="Arial"/>
            <w:color w:val="0066CC"/>
            <w:u w:val="single"/>
          </w:rPr>
          <w:t xml:space="preserve">achievingthedream.org (PDF)</w:t>
        </w:r>
      </w:hyperlink>
    </w:p>
    <w:p>
      <w:pPr>
        <w:spacing w:before="20" w:after="60" w:line="280" w:lineRule="exact"/>
      </w:pPr>
      <w:r>
        <w:rPr>
          <w:rFonts w:ascii="Arial" w:hAnsi="Arial"/>
          <w:b/>
          <w:i w:val="0"/>
          <w:color w:val="444444"/>
          <w:sz w:val="18"/>
        </w:rPr>
        <w:t xml:space="preserve">[2] </w:t>
      </w:r>
      <w:r>
        <w:rPr>
          <w:rFonts w:ascii="Arial" w:hAnsi="Arial"/>
          <w:b w:val="0"/>
          <w:i w:val="0"/>
          <w:color w:val="444444"/>
          <w:sz w:val="18"/>
        </w:rPr>
        <w:t xml:space="preserve">NAIC, </w:t>
      </w:r>
      <w:r>
        <w:rPr>
          <w:rFonts w:ascii="Arial" w:hAnsi="Arial"/>
          <w:b w:val="0"/>
          <w:i/>
          <w:color w:val="444444"/>
          <w:sz w:val="18"/>
        </w:rPr>
        <w:t>Model Bulletin: Use of Artificial Intelligence Systems by Insurers</w:t>
      </w:r>
      <w:r>
        <w:rPr>
          <w:rFonts w:ascii="Arial" w:hAnsi="Arial"/>
          <w:b w:val="0"/>
          <w:i w:val="0"/>
          <w:color w:val="444444"/>
          <w:sz w:val="18"/>
        </w:rPr>
        <w:t xml:space="preserve">. </w:t>
      </w:r>
      <w:hyperlink r:id="rId11">
        <w:r>
          <w:rPr>
            <w:rStyle w:val="Hyperlink"/>
            <w:rFonts w:ascii="Arial" w:hAnsi="Arial"/>
            <w:color w:val="0066CC"/>
            <w:u w:val="single"/>
          </w:rPr>
          <w:t xml:space="preserve">content.naic.org (PDF)</w:t>
        </w:r>
      </w:hyperlink>
    </w:p>
    <w:p>
      <w:pPr>
        <w:spacing w:before="20" w:after="60" w:line="280" w:lineRule="exact"/>
      </w:pPr>
      <w:r>
        <w:rPr>
          <w:rFonts w:ascii="Arial" w:hAnsi="Arial"/>
          <w:b/>
          <w:i w:val="0"/>
          <w:color w:val="444444"/>
          <w:sz w:val="18"/>
        </w:rPr>
        <w:t xml:space="preserve">[3] </w:t>
      </w:r>
      <w:r>
        <w:rPr>
          <w:rFonts w:ascii="Arial" w:hAnsi="Arial"/>
          <w:b w:val="0"/>
          <w:i w:val="0"/>
          <w:color w:val="444444"/>
          <w:sz w:val="18"/>
        </w:rPr>
        <w:t xml:space="preserve">ASEAN, </w:t>
      </w:r>
      <w:r>
        <w:rPr>
          <w:rFonts w:ascii="Arial" w:hAnsi="Arial"/>
          <w:b w:val="0"/>
          <w:i/>
          <w:color w:val="444444"/>
          <w:sz w:val="18"/>
        </w:rPr>
        <w:t>Expanded ASEAN Guide on AI Governance and Ethics: Generative AI</w:t>
      </w:r>
      <w:r>
        <w:rPr>
          <w:rFonts w:ascii="Arial" w:hAnsi="Arial"/>
          <w:b w:val="0"/>
          <w:i w:val="0"/>
          <w:color w:val="444444"/>
          <w:sz w:val="18"/>
        </w:rPr>
        <w:t xml:space="preserve"> (2nd ed., January 2025). </w:t>
      </w:r>
      <w:hyperlink r:id="rId22">
        <w:r>
          <w:rPr>
            <w:rStyle w:val="Hyperlink"/>
            <w:rFonts w:ascii="Arial" w:hAnsi="Arial"/>
            <w:color w:val="0066CC"/>
            <w:u w:val="single"/>
          </w:rPr>
          <w:t xml:space="preserve">asean.org (PDF)</w:t>
        </w:r>
      </w:hyperlink>
    </w:p>
    <w:p>
      <w:pPr>
        <w:spacing w:before="20" w:after="60" w:line="280" w:lineRule="exact"/>
      </w:pPr>
      <w:r>
        <w:rPr>
          <w:rFonts w:ascii="Arial" w:hAnsi="Arial"/>
          <w:b/>
          <w:i w:val="0"/>
          <w:color w:val="444444"/>
          <w:sz w:val="18"/>
        </w:rPr>
        <w:t xml:space="preserve">[4] </w:t>
      </w:r>
      <w:r>
        <w:rPr>
          <w:rFonts w:ascii="Arial" w:hAnsi="Arial"/>
          <w:b w:val="0"/>
          <w:i w:val="0"/>
          <w:color w:val="444444"/>
          <w:sz w:val="18"/>
        </w:rPr>
        <w:t xml:space="preserve">African Union, </w:t>
      </w:r>
      <w:r>
        <w:rPr>
          <w:rFonts w:ascii="Arial" w:hAnsi="Arial"/>
          <w:b w:val="0"/>
          <w:i/>
          <w:color w:val="444444"/>
          <w:sz w:val="18"/>
        </w:rPr>
        <w:t>Continental AI Strategy</w:t>
      </w:r>
      <w:r>
        <w:rPr>
          <w:rFonts w:ascii="Arial" w:hAnsi="Arial"/>
          <w:b w:val="0"/>
          <w:i w:val="0"/>
          <w:color w:val="444444"/>
          <w:sz w:val="18"/>
        </w:rPr>
        <w:t xml:space="preserve"> (July 2024). </w:t>
      </w:r>
      <w:hyperlink r:id="rId23">
        <w:r>
          <w:rPr>
            <w:rStyle w:val="Hyperlink"/>
            <w:rFonts w:ascii="Arial" w:hAnsi="Arial"/>
            <w:color w:val="0066CC"/>
            <w:u w:val="single"/>
          </w:rPr>
          <w:t xml:space="preserve">au.int (PDF)</w:t>
        </w:r>
      </w:hyperlink>
    </w:p>
    <w:p>
      <w:pPr>
        <w:spacing w:before="20" w:after="60" w:line="280" w:lineRule="exact"/>
      </w:pPr>
      <w:r>
        <w:rPr>
          <w:rFonts w:ascii="Arial" w:hAnsi="Arial"/>
          <w:b/>
          <w:i w:val="0"/>
          <w:color w:val="444444"/>
          <w:sz w:val="18"/>
        </w:rPr>
        <w:t xml:space="preserve">[5] </w:t>
      </w:r>
      <w:r>
        <w:rPr>
          <w:rFonts w:ascii="Arial" w:hAnsi="Arial"/>
          <w:b w:val="0"/>
          <w:i w:val="0"/>
          <w:color w:val="444444"/>
          <w:sz w:val="18"/>
        </w:rPr>
        <w:t xml:space="preserve">White House OMB, </w:t>
      </w:r>
      <w:r>
        <w:rPr>
          <w:rFonts w:ascii="Arial" w:hAnsi="Arial"/>
          <w:b w:val="0"/>
          <w:i/>
          <w:color w:val="444444"/>
          <w:sz w:val="18"/>
        </w:rPr>
        <w:t>M-25-21: Accelerating Federal Use of AI through Innovation, Governance, and Public Trust</w:t>
      </w:r>
      <w:r>
        <w:rPr>
          <w:rFonts w:ascii="Arial" w:hAnsi="Arial"/>
          <w:b w:val="0"/>
          <w:i w:val="0"/>
          <w:color w:val="444444"/>
          <w:sz w:val="18"/>
        </w:rPr>
        <w:t xml:space="preserve"> (February 2025). </w:t>
      </w:r>
      <w:hyperlink r:id="rId12">
        <w:r>
          <w:rPr>
            <w:rStyle w:val="Hyperlink"/>
            <w:rFonts w:ascii="Arial" w:hAnsi="Arial"/>
            <w:color w:val="0066CC"/>
            <w:u w:val="single"/>
          </w:rPr>
          <w:t xml:space="preserve">whitehouse.gov (PDF)</w:t>
        </w:r>
      </w:hyperlink>
    </w:p>
    <w:p>
      <w:pPr>
        <w:spacing w:before="20" w:after="60" w:line="280" w:lineRule="exact"/>
      </w:pPr>
      <w:r>
        <w:rPr>
          <w:rFonts w:ascii="Arial" w:hAnsi="Arial"/>
          <w:b/>
          <w:i w:val="0"/>
          <w:color w:val="444444"/>
          <w:sz w:val="18"/>
        </w:rPr>
        <w:t xml:space="preserve">[6] </w:t>
      </w:r>
      <w:r>
        <w:rPr>
          <w:rFonts w:ascii="Arial" w:hAnsi="Arial"/>
          <w:b w:val="0"/>
          <w:i w:val="0"/>
          <w:color w:val="444444"/>
          <w:sz w:val="18"/>
        </w:rPr>
        <w:t xml:space="preserve">IEEE Standards Association, </w:t>
      </w:r>
      <w:r>
        <w:rPr>
          <w:rFonts w:ascii="Arial" w:hAnsi="Arial"/>
          <w:b w:val="0"/>
          <w:i/>
          <w:color w:val="444444"/>
          <w:sz w:val="18"/>
        </w:rPr>
        <w:t>IEEE P7004 – Standard for Child and Student Data Governance</w:t>
      </w:r>
      <w:r>
        <w:rPr>
          <w:rFonts w:ascii="Arial" w:hAnsi="Arial"/>
          <w:b w:val="0"/>
          <w:i w:val="0"/>
          <w:color w:val="444444"/>
          <w:sz w:val="18"/>
        </w:rPr>
        <w:t xml:space="preserve"> (Active PAR). </w:t>
      </w:r>
      <w:hyperlink r:id="rId10">
        <w:r>
          <w:rPr>
            <w:rStyle w:val="Hyperlink"/>
            <w:rFonts w:ascii="Arial" w:hAnsi="Arial"/>
            <w:color w:val="0066CC"/>
            <w:u w:val="single"/>
          </w:rPr>
          <w:t xml:space="preserve">standards.ieee.org</w:t>
        </w:r>
      </w:hyperlink>
    </w:p>
    <w:p>
      <w:pPr>
        <w:spacing w:before="20" w:after="60" w:line="280" w:lineRule="exact"/>
      </w:pPr>
      <w:r>
        <w:rPr>
          <w:rFonts w:ascii="Arial" w:hAnsi="Arial"/>
          <w:b/>
          <w:i w:val="0"/>
          <w:color w:val="444444"/>
          <w:sz w:val="18"/>
        </w:rPr>
        <w:t xml:space="preserve">[8] </w:t>
      </w:r>
      <w:r>
        <w:rPr>
          <w:rFonts w:ascii="Arial" w:hAnsi="Arial"/>
          <w:b w:val="0"/>
          <w:i w:val="0"/>
          <w:color w:val="444444"/>
          <w:sz w:val="18"/>
        </w:rPr>
        <w:t xml:space="preserve">European Commission, </w:t>
      </w:r>
      <w:r>
        <w:rPr>
          <w:rFonts w:ascii="Arial" w:hAnsi="Arial"/>
          <w:b w:val="0"/>
          <w:i/>
          <w:color w:val="444444"/>
          <w:sz w:val="18"/>
        </w:rPr>
        <w:t>Regulatory Framework for AI</w:t>
      </w:r>
      <w:r>
        <w:rPr>
          <w:rFonts w:ascii="Arial" w:hAnsi="Arial"/>
          <w:b w:val="0"/>
          <w:i w:val="0"/>
          <w:color w:val="444444"/>
          <w:sz w:val="18"/>
        </w:rPr>
        <w:t xml:space="preserve"> (AI Act timeline and Annex III high-risk classifications). </w:t>
      </w:r>
      <w:hyperlink r:id="rId24">
        <w:r>
          <w:rPr>
            <w:rStyle w:val="Hyperlink"/>
            <w:rFonts w:ascii="Arial" w:hAnsi="Arial"/>
            <w:color w:val="0066CC"/>
            <w:u w:val="single"/>
          </w:rPr>
          <w:t xml:space="preserve">digital-strategy.ec.europa.eu</w:t>
        </w:r>
      </w:hyperlink>
    </w:p>
    <w:p>
      <w:pPr>
        <w:spacing w:before="20" w:after="60" w:line="280" w:lineRule="exact"/>
      </w:pPr>
      <w:r>
        <w:rPr>
          <w:rFonts w:ascii="Arial" w:hAnsi="Arial"/>
          <w:b/>
          <w:i w:val="0"/>
          <w:color w:val="444444"/>
          <w:sz w:val="18"/>
        </w:rPr>
        <w:t xml:space="preserve">[9] </w:t>
      </w:r>
      <w:r>
        <w:rPr>
          <w:rFonts w:ascii="Arial" w:hAnsi="Arial"/>
          <w:b w:val="0"/>
          <w:i w:val="0"/>
          <w:color w:val="444444"/>
          <w:sz w:val="18"/>
        </w:rPr>
        <w:t xml:space="preserve">UNESCO, </w:t>
      </w:r>
      <w:r>
        <w:rPr>
          <w:rFonts w:ascii="Arial" w:hAnsi="Arial"/>
          <w:b w:val="0"/>
          <w:i/>
          <w:color w:val="444444"/>
          <w:sz w:val="18"/>
        </w:rPr>
        <w:t>Global AI Ethics and Governance Observatory – Peru</w:t>
      </w:r>
      <w:r>
        <w:rPr>
          <w:rFonts w:ascii="Arial" w:hAnsi="Arial"/>
          <w:b w:val="0"/>
          <w:i w:val="0"/>
          <w:color w:val="444444"/>
          <w:sz w:val="18"/>
        </w:rPr>
        <w:t xml:space="preserve"> (Law N° 31814, July 2023). </w:t>
      </w:r>
      <w:hyperlink r:id="rId25">
        <w:r>
          <w:rPr>
            <w:rStyle w:val="Hyperlink"/>
            <w:rFonts w:ascii="Arial" w:hAnsi="Arial"/>
            <w:color w:val="0066CC"/>
            <w:u w:val="single"/>
          </w:rPr>
          <w:t xml:space="preserve">unesco.org</w:t>
        </w:r>
      </w:hyperlink>
    </w:p>
    <w:p>
      <w:pPr>
        <w:spacing w:before="20" w:after="60" w:line="280" w:lineRule="exact"/>
      </w:pPr>
      <w:r>
        <w:rPr>
          <w:rFonts w:ascii="Arial" w:hAnsi="Arial"/>
          <w:b/>
          <w:i w:val="0"/>
          <w:color w:val="444444"/>
          <w:sz w:val="18"/>
        </w:rPr>
        <w:t xml:space="preserve">[10] </w:t>
      </w:r>
      <w:r>
        <w:rPr>
          <w:rFonts w:ascii="Arial" w:hAnsi="Arial"/>
          <w:b w:val="0"/>
          <w:i w:val="0"/>
          <w:color w:val="444444"/>
          <w:sz w:val="18"/>
        </w:rPr>
        <w:t xml:space="preserve">White &amp; Case, </w:t>
      </w:r>
      <w:r>
        <w:rPr>
          <w:rFonts w:ascii="Arial" w:hAnsi="Arial"/>
          <w:b w:val="0"/>
          <w:i/>
          <w:color w:val="444444"/>
          <w:sz w:val="18"/>
        </w:rPr>
        <w:t>AI Watch: Global Regulatory Tracker – Japan</w:t>
      </w:r>
      <w:r>
        <w:rPr>
          <w:rFonts w:ascii="Arial" w:hAnsi="Arial"/>
          <w:b w:val="0"/>
          <w:i w:val="0"/>
          <w:color w:val="444444"/>
          <w:sz w:val="18"/>
        </w:rPr>
        <w:t xml:space="preserve"> (June 2025). </w:t>
      </w:r>
      <w:hyperlink r:id="rId26">
        <w:r>
          <w:rPr>
            <w:rStyle w:val="Hyperlink"/>
            <w:rFonts w:ascii="Arial" w:hAnsi="Arial"/>
            <w:color w:val="0066CC"/>
            <w:u w:val="single"/>
          </w:rPr>
          <w:t xml:space="preserve">whitecase.com</w:t>
        </w:r>
      </w:hyperlink>
    </w:p>
    <w:p>
      <w:pPr>
        <w:spacing w:before="20" w:after="60" w:line="280" w:lineRule="exact"/>
      </w:pPr>
      <w:r>
        <w:rPr>
          <w:rFonts w:ascii="Arial" w:hAnsi="Arial"/>
          <w:b/>
          <w:i w:val="0"/>
          <w:color w:val="444444"/>
          <w:sz w:val="18"/>
        </w:rPr>
        <w:t xml:space="preserve">[11] </w:t>
      </w:r>
      <w:r>
        <w:rPr>
          <w:rFonts w:ascii="Arial" w:hAnsi="Arial"/>
          <w:b w:val="0"/>
          <w:i w:val="0"/>
          <w:color w:val="444444"/>
          <w:sz w:val="18"/>
        </w:rPr>
        <w:t xml:space="preserve">U.S. International Trade Administration, </w:t>
      </w:r>
      <w:r>
        <w:rPr>
          <w:rFonts w:ascii="Arial" w:hAnsi="Arial"/>
          <w:b w:val="0"/>
          <w:i/>
          <w:color w:val="444444"/>
          <w:sz w:val="18"/>
        </w:rPr>
        <w:t>South Korea Artificial Intelligence (AI) Basic Act</w:t>
      </w:r>
      <w:r>
        <w:rPr>
          <w:rFonts w:ascii="Arial" w:hAnsi="Arial"/>
          <w:b w:val="0"/>
          <w:i w:val="0"/>
          <w:color w:val="444444"/>
          <w:sz w:val="18"/>
        </w:rPr>
        <w:t xml:space="preserve"> (April 2025). </w:t>
      </w:r>
      <w:hyperlink r:id="rId27">
        <w:r>
          <w:rPr>
            <w:rStyle w:val="Hyperlink"/>
            <w:rFonts w:ascii="Arial" w:hAnsi="Arial"/>
            <w:color w:val="0066CC"/>
            <w:u w:val="single"/>
          </w:rPr>
          <w:t xml:space="preserve">trade.gov</w:t>
        </w:r>
      </w:hyperlink>
    </w:p>
    <w:p>
      <w:pPr>
        <w:spacing w:before="20" w:after="60" w:line="280" w:lineRule="exact"/>
      </w:pPr>
      <w:r>
        <w:rPr>
          <w:rFonts w:ascii="Arial" w:hAnsi="Arial"/>
          <w:b/>
          <w:i w:val="0"/>
          <w:color w:val="444444"/>
          <w:sz w:val="18"/>
        </w:rPr>
        <w:t xml:space="preserve">[12] </w:t>
      </w:r>
      <w:r>
        <w:rPr>
          <w:rFonts w:ascii="Arial" w:hAnsi="Arial"/>
          <w:b w:val="0"/>
          <w:i w:val="0"/>
          <w:color w:val="444444"/>
          <w:sz w:val="18"/>
        </w:rPr>
        <w:t xml:space="preserve">South Korea Ministry of Science and ICT, </w:t>
      </w:r>
      <w:r>
        <w:rPr>
          <w:rFonts w:ascii="Arial" w:hAnsi="Arial"/>
          <w:b w:val="0"/>
          <w:i/>
          <w:color w:val="444444"/>
          <w:sz w:val="18"/>
        </w:rPr>
        <w:t>Basic Act on AI Passed at the National Assembly's Plenary Session</w:t>
      </w:r>
      <w:r>
        <w:rPr>
          <w:rFonts w:ascii="Arial" w:hAnsi="Arial"/>
          <w:b w:val="0"/>
          <w:i w:val="0"/>
          <w:color w:val="444444"/>
          <w:sz w:val="18"/>
        </w:rPr>
        <w:t xml:space="preserve">. </w:t>
      </w:r>
      <w:hyperlink r:id="rId28">
        <w:r>
          <w:rPr>
            <w:rStyle w:val="Hyperlink"/>
            <w:rFonts w:ascii="Arial" w:hAnsi="Arial"/>
            <w:color w:val="0066CC"/>
            <w:u w:val="single"/>
          </w:rPr>
          <w:t xml:space="preserve">msit.go.kr</w:t>
        </w:r>
      </w:hyperlink>
    </w:p>
    <w:p>
      <w:pPr>
        <w:spacing w:before="20" w:after="60" w:line="280" w:lineRule="exact"/>
      </w:pPr>
      <w:r>
        <w:rPr>
          <w:rFonts w:ascii="Arial" w:hAnsi="Arial"/>
          <w:b/>
          <w:i w:val="0"/>
          <w:color w:val="444444"/>
          <w:sz w:val="18"/>
        </w:rPr>
        <w:t xml:space="preserve">[13] </w:t>
      </w:r>
      <w:r>
        <w:rPr>
          <w:rFonts w:ascii="Arial" w:hAnsi="Arial"/>
          <w:b w:val="0"/>
          <w:i w:val="0"/>
          <w:color w:val="444444"/>
          <w:sz w:val="18"/>
        </w:rPr>
        <w:t xml:space="preserve">Baker McKenzie, </w:t>
      </w:r>
      <w:r>
        <w:rPr>
          <w:rFonts w:ascii="Arial" w:hAnsi="Arial"/>
          <w:b w:val="0"/>
          <w:i/>
          <w:color w:val="444444"/>
          <w:sz w:val="18"/>
        </w:rPr>
        <w:t>Taiwan: AI Basic Act</w:t>
      </w:r>
      <w:r>
        <w:rPr>
          <w:rFonts w:ascii="Arial" w:hAnsi="Arial"/>
          <w:b w:val="0"/>
          <w:i w:val="0"/>
          <w:color w:val="444444"/>
          <w:sz w:val="18"/>
        </w:rPr>
        <w:t xml:space="preserve"> (January 2026). </w:t>
      </w:r>
      <w:hyperlink r:id="rId29">
        <w:r>
          <w:rPr>
            <w:rStyle w:val="Hyperlink"/>
            <w:rFonts w:ascii="Arial" w:hAnsi="Arial"/>
            <w:color w:val="0066CC"/>
            <w:u w:val="single"/>
          </w:rPr>
          <w:t xml:space="preserve">bakermckenzie.com</w:t>
        </w:r>
      </w:hyperlink>
    </w:p>
    <w:p>
      <w:pPr>
        <w:spacing w:before="20" w:after="60" w:line="280" w:lineRule="exact"/>
      </w:pPr>
      <w:r>
        <w:rPr>
          <w:rFonts w:ascii="Arial" w:hAnsi="Arial"/>
          <w:b/>
          <w:i w:val="0"/>
          <w:color w:val="444444"/>
          <w:sz w:val="18"/>
        </w:rPr>
        <w:t xml:space="preserve">[14] </w:t>
      </w:r>
      <w:r>
        <w:rPr>
          <w:rFonts w:ascii="Arial" w:hAnsi="Arial"/>
          <w:b w:val="0"/>
          <w:i w:val="0"/>
          <w:color w:val="444444"/>
          <w:sz w:val="18"/>
        </w:rPr>
        <w:t xml:space="preserve">Taiwan Ministry of Digital Affairs, </w:t>
      </w:r>
      <w:r>
        <w:rPr>
          <w:rFonts w:ascii="Arial" w:hAnsi="Arial"/>
          <w:b w:val="0"/>
          <w:i/>
          <w:color w:val="444444"/>
          <w:sz w:val="18"/>
        </w:rPr>
        <w:t>Legislative Yuan Passes Artificial Intelligence Fundamental Act</w:t>
      </w:r>
      <w:r>
        <w:rPr>
          <w:rFonts w:ascii="Arial" w:hAnsi="Arial"/>
          <w:b w:val="0"/>
          <w:i w:val="0"/>
          <w:color w:val="444444"/>
          <w:sz w:val="18"/>
        </w:rPr>
        <w:t xml:space="preserve"> (January 2026). </w:t>
      </w:r>
      <w:hyperlink r:id="rId30">
        <w:r>
          <w:rPr>
            <w:rStyle w:val="Hyperlink"/>
            <w:rFonts w:ascii="Arial" w:hAnsi="Arial"/>
            <w:color w:val="0066CC"/>
            <w:u w:val="single"/>
          </w:rPr>
          <w:t xml:space="preserve">moda.gov.tw</w:t>
        </w:r>
      </w:hyperlink>
    </w:p>
    <w:p>
      <w:pPr>
        <w:spacing w:before="20" w:after="60" w:line="280" w:lineRule="exact"/>
      </w:pPr>
      <w:r>
        <w:rPr>
          <w:rFonts w:ascii="Arial" w:hAnsi="Arial"/>
          <w:b/>
          <w:i w:val="0"/>
          <w:color w:val="444444"/>
          <w:sz w:val="18"/>
        </w:rPr>
        <w:t xml:space="preserve">[15] </w:t>
      </w:r>
      <w:r>
        <w:rPr>
          <w:rFonts w:ascii="Arial" w:hAnsi="Arial"/>
          <w:b w:val="0"/>
          <w:i w:val="0"/>
          <w:color w:val="444444"/>
          <w:sz w:val="18"/>
        </w:rPr>
        <w:t xml:space="preserve">ASEAN, </w:t>
      </w:r>
      <w:r>
        <w:rPr>
          <w:rFonts w:ascii="Arial" w:hAnsi="Arial"/>
          <w:b w:val="0"/>
          <w:i/>
          <w:color w:val="444444"/>
          <w:sz w:val="18"/>
        </w:rPr>
        <w:t>Expanded ASEAN Guide on AI Governance and Ethics: Generative AI</w:t>
      </w:r>
      <w:r>
        <w:rPr>
          <w:rFonts w:ascii="Arial" w:hAnsi="Arial"/>
          <w:b w:val="0"/>
          <w:i w:val="0"/>
          <w:color w:val="444444"/>
          <w:sz w:val="18"/>
        </w:rPr>
        <w:t xml:space="preserve"> (distribution copy, January 2025). </w:t>
      </w:r>
      <w:hyperlink r:id="rId22">
        <w:r>
          <w:rPr>
            <w:rStyle w:val="Hyperlink"/>
            <w:rFonts w:ascii="Arial" w:hAnsi="Arial"/>
            <w:color w:val="0066CC"/>
            <w:u w:val="single"/>
          </w:rPr>
          <w:t xml:space="preserve">asean.org (PDF)</w:t>
        </w:r>
      </w:hyperlink>
    </w:p>
    <w:p>
      <w:pPr>
        <w:spacing w:before="20" w:after="60" w:line="280" w:lineRule="exact"/>
      </w:pPr>
      <w:r>
        <w:rPr>
          <w:rFonts w:ascii="Arial" w:hAnsi="Arial"/>
          <w:b/>
          <w:i w:val="0"/>
          <w:color w:val="444444"/>
          <w:sz w:val="18"/>
        </w:rPr>
        <w:t xml:space="preserve">[16] </w:t>
      </w:r>
      <w:r>
        <w:rPr>
          <w:rFonts w:ascii="Arial" w:hAnsi="Arial"/>
          <w:b w:val="0"/>
          <w:i w:val="0"/>
          <w:color w:val="444444"/>
          <w:sz w:val="18"/>
        </w:rPr>
        <w:t xml:space="preserve">UNESCO, </w:t>
      </w:r>
      <w:r>
        <w:rPr>
          <w:rFonts w:ascii="Arial" w:hAnsi="Arial"/>
          <w:b w:val="0"/>
          <w:i/>
          <w:color w:val="444444"/>
          <w:sz w:val="18"/>
        </w:rPr>
        <w:t>Chile Will Host First Latin American and Caribbean Ministerial and High-Level Summit on Ethics of AI</w:t>
      </w:r>
      <w:r>
        <w:rPr>
          <w:rFonts w:ascii="Arial" w:hAnsi="Arial"/>
          <w:b w:val="0"/>
          <w:i w:val="0"/>
          <w:color w:val="444444"/>
          <w:sz w:val="18"/>
        </w:rPr>
        <w:t xml:space="preserve"> (Santiago Declaration 2023; Montevideo Roadmap 2024). </w:t>
      </w:r>
      <w:hyperlink r:id="rId31">
        <w:r>
          <w:rPr>
            <w:rStyle w:val="Hyperlink"/>
            <w:rFonts w:ascii="Arial" w:hAnsi="Arial"/>
            <w:color w:val="0066CC"/>
            <w:u w:val="single"/>
          </w:rPr>
          <w:t xml:space="preserve">unesco.org</w:t>
        </w:r>
      </w:hyperlink>
    </w:p>
    <w:p>
      <w:pPr>
        <w:spacing w:before="20" w:after="60" w:line="280" w:lineRule="exact"/>
      </w:pPr>
      <w:r>
        <w:rPr>
          <w:rFonts w:ascii="Arial" w:hAnsi="Arial"/>
          <w:b/>
          <w:i w:val="0"/>
          <w:color w:val="444444"/>
          <w:sz w:val="18"/>
        </w:rPr>
        <w:t xml:space="preserve">[17] </w:t>
      </w:r>
      <w:r>
        <w:rPr>
          <w:rFonts w:ascii="Arial" w:hAnsi="Arial"/>
          <w:b w:val="0"/>
          <w:i w:val="0"/>
          <w:color w:val="444444"/>
          <w:sz w:val="18"/>
        </w:rPr>
        <w:t xml:space="preserve">Carnegie Endowment for International Peace, </w:t>
      </w:r>
      <w:r>
        <w:rPr>
          <w:rFonts w:ascii="Arial" w:hAnsi="Arial"/>
          <w:b w:val="0"/>
          <w:i/>
          <w:color w:val="444444"/>
          <w:sz w:val="18"/>
        </w:rPr>
        <w:t>Understanding Africa's AI Governance Landscape: Insights from Policy, Practice, and Dialogue</w:t>
      </w:r>
      <w:r>
        <w:rPr>
          <w:rFonts w:ascii="Arial" w:hAnsi="Arial"/>
          <w:b w:val="0"/>
          <w:i w:val="0"/>
          <w:color w:val="444444"/>
          <w:sz w:val="18"/>
        </w:rPr>
        <w:t xml:space="preserve"> (September 2025). </w:t>
      </w:r>
      <w:hyperlink r:id="rId32">
        <w:r>
          <w:rPr>
            <w:rStyle w:val="Hyperlink"/>
            <w:rFonts w:ascii="Arial" w:hAnsi="Arial"/>
            <w:color w:val="0066CC"/>
            <w:u w:val="single"/>
          </w:rPr>
          <w:t xml:space="preserve">carnegieendowment.org</w:t>
        </w:r>
      </w:hyperlink>
    </w:p>
    <w:p>
      <w:pPr>
        <w:spacing w:before="20" w:after="60" w:line="280" w:lineRule="exact"/>
      </w:pPr>
      <w:r>
        <w:rPr>
          <w:rFonts w:ascii="Arial" w:hAnsi="Arial"/>
          <w:b/>
          <w:i w:val="0"/>
          <w:color w:val="444444"/>
          <w:sz w:val="18"/>
        </w:rPr>
        <w:t xml:space="preserve">[18] </w:t>
      </w:r>
      <w:r>
        <w:rPr>
          <w:rFonts w:ascii="Arial" w:hAnsi="Arial"/>
          <w:b w:val="0"/>
          <w:i w:val="0"/>
          <w:color w:val="444444"/>
          <w:sz w:val="18"/>
        </w:rPr>
        <w:t xml:space="preserve">Smart Africa, </w:t>
      </w:r>
      <w:r>
        <w:rPr>
          <w:rFonts w:ascii="Arial" w:hAnsi="Arial"/>
          <w:b w:val="0"/>
          <w:i/>
          <w:color w:val="444444"/>
          <w:sz w:val="18"/>
        </w:rPr>
        <w:t>The Smart Africa Board Unveils the Inaugural Africa AI Council to Lead the Continent's AI Transformation</w:t>
      </w:r>
      <w:r>
        <w:rPr>
          <w:rFonts w:ascii="Arial" w:hAnsi="Arial"/>
          <w:b w:val="0"/>
          <w:i w:val="0"/>
          <w:color w:val="444444"/>
          <w:sz w:val="18"/>
        </w:rPr>
        <w:t xml:space="preserve">. </w:t>
      </w:r>
      <w:hyperlink r:id="rId33">
        <w:r>
          <w:rPr>
            <w:rStyle w:val="Hyperlink"/>
            <w:rFonts w:ascii="Arial" w:hAnsi="Arial"/>
            <w:color w:val="0066CC"/>
            <w:u w:val="single"/>
          </w:rPr>
          <w:t xml:space="preserve">smartafrica.org</w:t>
        </w:r>
      </w:hyperlink>
    </w:p>
    <w:p>
      <w:pPr>
        <w:spacing w:before="20" w:after="60" w:line="280" w:lineRule="exact"/>
      </w:pPr>
      <w:r>
        <w:rPr>
          <w:rFonts w:ascii="Arial" w:hAnsi="Arial"/>
          <w:b/>
          <w:i w:val="0"/>
          <w:color w:val="444444"/>
          <w:sz w:val="18"/>
        </w:rPr>
        <w:t xml:space="preserve">[19] </w:t>
      </w:r>
      <w:r>
        <w:rPr>
          <w:rFonts w:ascii="Arial" w:hAnsi="Arial"/>
          <w:b w:val="0"/>
          <w:i w:val="0"/>
          <w:color w:val="444444"/>
          <w:sz w:val="18"/>
        </w:rPr>
        <w:t xml:space="preserve">Academic Senate for California Community Colleges (ASCCC), </w:t>
      </w:r>
      <w:r>
        <w:rPr>
          <w:rFonts w:ascii="Arial" w:hAnsi="Arial"/>
          <w:b w:val="0"/>
          <w:i/>
          <w:color w:val="444444"/>
          <w:sz w:val="18"/>
        </w:rPr>
        <w:t>Academic Integrity Policies in the Age of Artificial Intelligence – AI Resources 2024</w:t>
      </w:r>
      <w:r>
        <w:rPr>
          <w:rFonts w:ascii="Arial" w:hAnsi="Arial"/>
          <w:b w:val="0"/>
          <w:i w:val="0"/>
          <w:color w:val="444444"/>
          <w:sz w:val="18"/>
        </w:rPr>
        <w:t xml:space="preserve">. </w:t>
      </w:r>
      <w:hyperlink r:id="rId34">
        <w:r>
          <w:rPr>
            <w:rStyle w:val="Hyperlink"/>
            <w:rFonts w:ascii="Arial" w:hAnsi="Arial"/>
            <w:color w:val="0066CC"/>
            <w:u w:val="single"/>
          </w:rPr>
          <w:t xml:space="preserve">asccc.org (PDF)</w:t>
        </w:r>
      </w:hyperlink>
    </w:p>
    <w:p>
      <w:pPr>
        <w:spacing w:before="20" w:after="60" w:line="280" w:lineRule="exact"/>
      </w:pPr>
      <w:r>
        <w:rPr>
          <w:rFonts w:ascii="Arial" w:hAnsi="Arial"/>
          <w:b/>
          <w:i w:val="0"/>
          <w:color w:val="444444"/>
          <w:sz w:val="18"/>
        </w:rPr>
        <w:t xml:space="preserve">[20] </w:t>
      </w:r>
      <w:r>
        <w:rPr>
          <w:rFonts w:ascii="Arial" w:hAnsi="Arial"/>
          <w:b w:val="0"/>
          <w:i w:val="0"/>
          <w:color w:val="444444"/>
          <w:sz w:val="18"/>
        </w:rPr>
        <w:t xml:space="preserve">U.S. Department of Education, </w:t>
      </w:r>
      <w:r>
        <w:rPr>
          <w:rFonts w:ascii="Arial" w:hAnsi="Arial"/>
          <w:b w:val="0"/>
          <w:i/>
          <w:color w:val="444444"/>
          <w:sz w:val="18"/>
        </w:rPr>
        <w:t>Community College Facts at a Glance</w:t>
      </w:r>
      <w:r>
        <w:rPr>
          <w:rFonts w:ascii="Arial" w:hAnsi="Arial"/>
          <w:b w:val="0"/>
          <w:i w:val="0"/>
          <w:color w:val="444444"/>
          <w:sz w:val="18"/>
        </w:rPr>
        <w:t xml:space="preserve"> (2020-21: 8,871,746 students, approximately 43.7% of undergraduates). </w:t>
      </w:r>
      <w:hyperlink r:id="rId35">
        <w:r>
          <w:rPr>
            <w:rStyle w:val="Hyperlink"/>
            <w:rFonts w:ascii="Arial" w:hAnsi="Arial"/>
            <w:color w:val="0066CC"/>
            <w:u w:val="single"/>
          </w:rPr>
          <w:t xml:space="preserve">ed.gov</w:t>
        </w:r>
      </w:hyperlink>
    </w:p>
    <w:p>
      <w:pPr>
        <w:spacing w:before="20" w:after="60" w:line="280" w:lineRule="exact"/>
      </w:pPr>
      <w:r>
        <w:rPr>
          <w:rFonts w:ascii="Arial" w:hAnsi="Arial"/>
          <w:b/>
          <w:i w:val="0"/>
          <w:color w:val="444444"/>
          <w:sz w:val="18"/>
        </w:rPr>
        <w:t xml:space="preserve">[21] </w:t>
      </w:r>
      <w:r>
        <w:rPr>
          <w:rFonts w:ascii="Arial" w:hAnsi="Arial"/>
          <w:b w:val="0"/>
          <w:i w:val="0"/>
          <w:color w:val="444444"/>
          <w:sz w:val="18"/>
        </w:rPr>
        <w:t xml:space="preserve">Cyber Security Agency of Singapore (CSA), </w:t>
      </w:r>
      <w:r>
        <w:rPr>
          <w:rFonts w:ascii="Arial" w:hAnsi="Arial"/>
          <w:b w:val="0"/>
          <w:i/>
          <w:color w:val="444444"/>
          <w:sz w:val="18"/>
        </w:rPr>
        <w:t>Addendum on Securing AI Systems – Securing Agentic AI Systems</w:t>
      </w:r>
      <w:r>
        <w:rPr>
          <w:rFonts w:ascii="Arial" w:hAnsi="Arial"/>
          <w:b w:val="0"/>
          <w:i w:val="0"/>
          <w:color w:val="444444"/>
          <w:sz w:val="18"/>
        </w:rPr>
        <w:t xml:space="preserve"> (Draft for public consultation, October 2025). </w:t>
      </w:r>
      <w:hyperlink r:id="rId14">
        <w:r>
          <w:rPr>
            <w:rStyle w:val="Hyperlink"/>
            <w:rFonts w:ascii="Arial" w:hAnsi="Arial"/>
            <w:color w:val="0066CC"/>
            <w:u w:val="single"/>
          </w:rPr>
          <w:t xml:space="preserve">csa.gov.sg</w:t>
        </w:r>
      </w:hyperlink>
    </w:p>
    <w:p>
      <w:pPr>
        <w:spacing w:before="20" w:after="60" w:line="280" w:lineRule="exact"/>
      </w:pPr>
      <w:r>
        <w:rPr>
          <w:rFonts w:ascii="Arial" w:hAnsi="Arial"/>
          <w:b/>
          <w:i w:val="0"/>
          <w:color w:val="444444"/>
          <w:sz w:val="18"/>
        </w:rPr>
        <w:t xml:space="preserve">[22] </w:t>
      </w:r>
      <w:r>
        <w:rPr>
          <w:rFonts w:ascii="Arial" w:hAnsi="Arial"/>
          <w:b w:val="0"/>
          <w:i w:val="0"/>
          <w:color w:val="444444"/>
          <w:sz w:val="18"/>
        </w:rPr>
        <w:t xml:space="preserve">IMDA / MDDI Singapore, </w:t>
      </w:r>
      <w:r>
        <w:rPr>
          <w:rFonts w:ascii="Arial" w:hAnsi="Arial"/>
          <w:b w:val="0"/>
          <w:i/>
          <w:color w:val="444444"/>
          <w:sz w:val="18"/>
        </w:rPr>
        <w:t>New Model AI Governance Framework for Agentic AI</w:t>
      </w:r>
      <w:r>
        <w:rPr>
          <w:rFonts w:ascii="Arial" w:hAnsi="Arial"/>
          <w:b w:val="0"/>
          <w:i w:val="0"/>
          <w:color w:val="444444"/>
          <w:sz w:val="18"/>
        </w:rPr>
        <w:t xml:space="preserve"> (January 2026). </w:t>
      </w:r>
      <w:hyperlink r:id="rId15">
        <w:r>
          <w:rPr>
            <w:rStyle w:val="Hyperlink"/>
            <w:rFonts w:ascii="Arial" w:hAnsi="Arial"/>
            <w:color w:val="0066CC"/>
            <w:u w:val="single"/>
          </w:rPr>
          <w:t xml:space="preserve">imda.gov.sg</w:t>
        </w:r>
      </w:hyperlink>
    </w:p>
    <w:p>
      <w:pPr>
        <w:spacing w:before="20" w:after="60" w:line="280" w:lineRule="exact"/>
      </w:pPr>
      <w:r>
        <w:rPr>
          <w:rFonts w:ascii="Arial" w:hAnsi="Arial"/>
          <w:b/>
          <w:i w:val="0"/>
          <w:color w:val="444444"/>
          <w:sz w:val="18"/>
        </w:rPr>
        <w:t xml:space="preserve">[23] </w:t>
      </w:r>
      <w:r>
        <w:rPr>
          <w:rFonts w:ascii="Arial" w:hAnsi="Arial"/>
          <w:b w:val="0"/>
          <w:i w:val="0"/>
          <w:color w:val="444444"/>
          <w:sz w:val="18"/>
        </w:rPr>
        <w:t xml:space="preserve">Wired, </w:t>
      </w:r>
      <w:r>
        <w:rPr>
          <w:rFonts w:ascii="Arial" w:hAnsi="Arial"/>
          <w:b w:val="0"/>
          <w:i/>
          <w:color w:val="444444"/>
          <w:sz w:val="18"/>
        </w:rPr>
        <w:t>OpenAI, Anthropic, and Block Are Teaming Up on AI Agent Standards</w:t>
      </w:r>
      <w:r>
        <w:rPr>
          <w:rFonts w:ascii="Arial" w:hAnsi="Arial"/>
          <w:b w:val="0"/>
          <w:i w:val="0"/>
          <w:color w:val="444444"/>
          <w:sz w:val="18"/>
        </w:rPr>
        <w:t xml:space="preserve"> (reporting on Agentic AI Foundation and MCP transfer to Linux Foundation). </w:t>
      </w:r>
      <w:hyperlink r:id="rId16">
        <w:r>
          <w:rPr>
            <w:rStyle w:val="Hyperlink"/>
            <w:rFonts w:ascii="Arial" w:hAnsi="Arial"/>
            <w:color w:val="0066CC"/>
            <w:u w:val="single"/>
          </w:rPr>
          <w:t xml:space="preserve">wired.com</w:t>
        </w:r>
      </w:hyperlink>
    </w:p>
    <w:p>
      <w:pPr>
        <w:pBdr>
          <w:bottom w:val="single" w:sz="4" w:space="1" w:color="CCCCCC"/>
        </w:pBdr>
        <w:spacing w:before="120" w:after="120"/>
      </w:pPr>
    </w:p>
    <w:tbl>
      <w:tblPr>
        <w:tblW w:type="auto" w:w="0"/>
        <w:jc w:val="center"/>
        <w:tblLook w:firstColumn="1" w:firstRow="1" w:lastColumn="0" w:lastRow="0" w:noHBand="0" w:noVBand="1" w:val="04A0"/>
        <w:tblW w:w="5000" w:type="pct"/>
      </w:tblPr>
      <w:tblGrid>
        <w:gridCol w:w="9360"/>
      </w:tblGrid>
      <w:tr>
        <w:tc>
          <w:tcPr>
            <w:tcW w:type="dxa" w:w="9360"/>
            <w:shd w:fill="F5F5F5" w:val="clear"/>
            <w:tcBorders>
              <w:top w:sz="4" w:val="single" w:color="DDDDDD"/>
              <w:bottom w:sz="4" w:val="single" w:color="DDDDDD"/>
              <w:left w:sz="4" w:val="single" w:color="DDDDDD"/>
              <w:right w:sz="4" w:val="single" w:color="DDDDDD"/>
            </w:tcBorders>
          </w:tcPr>
          <w:p>
            <w:r>
              <w:rPr>
                <w:rFonts w:ascii="Arial" w:hAnsi="Arial"/>
                <w:b/>
                <w:i w:val="0"/>
                <w:sz w:val="20"/>
              </w:rPr>
              <w:t>About This Document:</w:t>
            </w:r>
          </w:p>
          <w:p>
            <w:pPr>
              <w:spacing w:before="40" w:after="40" w:line="320" w:lineRule="exact"/>
            </w:pPr>
            <w:r>
              <w:rPr>
                <w:rFonts w:ascii="Arial" w:hAnsi="Arial"/>
                <w:b w:val="0"/>
                <w:i w:val="0"/>
                <w:sz w:val="20"/>
              </w:rPr>
              <w:t xml:space="preserve"> This discovery summary documents the comprehensive search of 12 global domains for AI governance frameworks relevant to California community colleges. The research was done as Phase 1 and a start of Phase 2 of the Ethical AI Framework project for the College Futures Foundation. This revision (rev_01) incorporates claim verification against primary sources conducted February 2026.</w:t>
              <w:br/>
            </w:r>
          </w:p>
        </w:tc>
      </w:tr>
    </w:tbl>
    <w:p>
      <w:pPr>
        <w:pBdr>
          <w:bottom w:val="single" w:sz="4" w:space="1" w:color="CCCCCC"/>
        </w:pBdr>
        <w:spacing w:before="120" w:after="120"/>
      </w:pPr>
    </w:p>
    <w:p>
      <w:pPr>
        <w:spacing w:before="40" w:after="240" w:line="320" w:lineRule="exact"/>
      </w:pPr>
      <w:r>
        <w:rPr>
          <w:rFonts w:ascii="Arial" w:hAnsi="Arial"/>
          <w:b w:val="0"/>
          <w:i w:val="0"/>
          <w:color w:val="666666"/>
          <w:sz w:val="20"/>
        </w:rPr>
        <w:br/>
      </w:r>
      <w:r>
        <w:rPr>
          <w:rFonts w:ascii="Arial" w:hAnsi="Arial"/>
          <w:b w:val="0"/>
          <w:i/>
          <w:color w:val="666666"/>
          <w:sz w:val="20"/>
        </w:rPr>
        <w:t>Prepared by AQL Labs / FutureObjects</w:t>
      </w:r>
      <w:r>
        <w:br/>
      </w:r>
      <w:r>
        <w:rPr>
          <w:rFonts w:ascii="Arial" w:hAnsi="Arial"/>
          <w:b w:val="0"/>
          <w:i w:val="0"/>
          <w:color w:val="666666"/>
          <w:sz w:val="20"/>
        </w:rPr>
        <w:br/>
      </w:r>
      <w:r>
        <w:rPr>
          <w:rFonts w:ascii="Arial" w:hAnsi="Arial"/>
          <w:b w:val="0"/>
          <w:i/>
          <w:color w:val="666666"/>
          <w:sz w:val="20"/>
        </w:rPr>
        <w:t>Commissioned by College Futures Foundation | February 2026</w:t>
      </w:r>
      <w:r>
        <w:rPr>
          <w:rFonts w:ascii="Arial" w:hAnsi="Arial"/>
          <w:b w:val="0"/>
          <w:i w:val="0"/>
          <w:color w:val="666666"/>
          <w:sz w:val="20"/>
        </w:rPr>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rFonts w:ascii="Arial" w:hAnsi="Arial"/>
      <w:color w:val="0066CC"/>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pp.fordschool.umich.edu/sites/stpp/files/2024-09/michigan-municipal-league-AI.pdf" TargetMode="External"/><Relationship Id="rId10" Type="http://schemas.openxmlformats.org/officeDocument/2006/relationships/hyperlink" Target="https://standards.ieee.org/ieee/7004/10270/" TargetMode="External"/><Relationship Id="rId11" Type="http://schemas.openxmlformats.org/officeDocument/2006/relationships/hyperlink" Target="https://content.naic.org/sites/default/files/cmte-h-big-data-artificial-intelligence-wg-ai-model-bulletin.pdf.pdf" TargetMode="External"/><Relationship Id="rId12" Type="http://schemas.openxmlformats.org/officeDocument/2006/relationships/hyperlink" Target="https://www.whitehouse.gov/wp-content/uploads/2025/02/M-25-21-Accelerating-Federal-Use-of-AI-through-Innovation-Governance-and-Public-Trust.pdf" TargetMode="External"/><Relationship Id="rId13" Type="http://schemas.openxmlformats.org/officeDocument/2006/relationships/hyperlink" Target="https://www.buckingham.ac.uk/wp-content/uploads/2021/03/The-Institute-for-Ethical-AI-in-Education-The-Ethical-Framework-for-AI-in-Education.pdf" TargetMode="External"/><Relationship Id="rId14" Type="http://schemas.openxmlformats.org/officeDocument/2006/relationships/hyperlink" Target="https://www.csa.gov.sg/resources/publications/addendum-on-securing-ai-systems/" TargetMode="External"/><Relationship Id="rId15" Type="http://schemas.openxmlformats.org/officeDocument/2006/relationships/hyperlink" Target="https://www.imda.gov.sg/resources/press-releases-factsheets-and-speeches/press-releases/2026/new-model-ai-governance-framework-for-agentic-ai" TargetMode="External"/><Relationship Id="rId16" Type="http://schemas.openxmlformats.org/officeDocument/2006/relationships/hyperlink" Target="https://www.wired.com/story/openai-anthropic-and-block-are-teaming-up-on-ai-agent-standards" TargetMode="External"/><Relationship Id="rId17" Type="http://schemas.openxmlformats.org/officeDocument/2006/relationships/hyperlink" Target="https://www.gida-global.org/care" TargetMode="External"/><Relationship Id="rId18" Type="http://schemas.openxmlformats.org/officeDocument/2006/relationships/hyperlink" Target="https://fnigc.ca/ocap-training/" TargetMode="External"/><Relationship Id="rId19" Type="http://schemas.openxmlformats.org/officeDocument/2006/relationships/hyperlink" Target="https://www.temanararaunga.maori.nz/" TargetMode="External"/><Relationship Id="rId20" Type="http://schemas.openxmlformats.org/officeDocument/2006/relationships/hyperlink" Target="https://www.unesco.org/en/articles/new-report-and-guidelines-indigenous-data-sovereignty-artificial-intelligence-developments" TargetMode="External"/><Relationship Id="rId21" Type="http://schemas.openxmlformats.org/officeDocument/2006/relationships/hyperlink" Target="https://achievingthedream.org/wp-content/uploads/2025/07/ATD-AI-Task-Force-Report-Final-7-21-25.pdf" TargetMode="External"/><Relationship Id="rId22" Type="http://schemas.openxmlformats.org/officeDocument/2006/relationships/hyperlink" Target="https://asean.org/wp-content/uploads/2025/01/Expanded-ASEAN-Guide-on-AI-Governance-and-Ethics-Generative-AI.pdf" TargetMode="External"/><Relationship Id="rId23" Type="http://schemas.openxmlformats.org/officeDocument/2006/relationships/hyperlink" Target="https://au.int/sites/default/files/documents/44004-doc-EN-_Continental_AI_Strategy_July_2024.pdf" TargetMode="External"/><Relationship Id="rId24" Type="http://schemas.openxmlformats.org/officeDocument/2006/relationships/hyperlink" Target="https://digital-strategy.ec.europa.eu/en/policies/regulatory-framework-ai" TargetMode="External"/><Relationship Id="rId25" Type="http://schemas.openxmlformats.org/officeDocument/2006/relationships/hyperlink" Target="https://www.unesco.org/ethics-ai/en/peru" TargetMode="External"/><Relationship Id="rId26" Type="http://schemas.openxmlformats.org/officeDocument/2006/relationships/hyperlink" Target="https://www.whitecase.com/insight-our-thinking/ai-watch-global-regulatory-tracker-japan" TargetMode="External"/><Relationship Id="rId27" Type="http://schemas.openxmlformats.org/officeDocument/2006/relationships/hyperlink" Target="https://www.trade.gov/market-intelligence/south-korea-artificial-intelligence-ai-basic-act" TargetMode="External"/><Relationship Id="rId28" Type="http://schemas.openxmlformats.org/officeDocument/2006/relationships/hyperlink" Target="https://www.msit.go.kr/eng/bbs/view.do?bbsSeqNo=42&amp;mId=4&amp;mPid=2&amp;nttSeqNo=1071" TargetMode="External"/><Relationship Id="rId29" Type="http://schemas.openxmlformats.org/officeDocument/2006/relationships/hyperlink" Target="https://www.bakermckenzie.com/en/insight/publications/2026/01/taiwan-ai-basic-act" TargetMode="External"/><Relationship Id="rId30" Type="http://schemas.openxmlformats.org/officeDocument/2006/relationships/hyperlink" Target="https://moda.gov.tw/en/press/press-releases/18316" TargetMode="External"/><Relationship Id="rId31" Type="http://schemas.openxmlformats.org/officeDocument/2006/relationships/hyperlink" Target="https://www.unesco.org/en/articles/chile-will-host-first-latin-american-and-caribbean-ministerial-and-high-level-summit-ethics" TargetMode="External"/><Relationship Id="rId32" Type="http://schemas.openxmlformats.org/officeDocument/2006/relationships/hyperlink" Target="https://carnegieendowment.org/posts/2025/09/understanding-africas-ai-governance-landscape-insights-from-policy-practice-and-dialogue" TargetMode="External"/><Relationship Id="rId33" Type="http://schemas.openxmlformats.org/officeDocument/2006/relationships/hyperlink" Target="https://smartafrica.org/the-smart-africas-board-unveils-the-inaugural-africa-ai-council-to-lead-the-continents-ai-transformation/" TargetMode="External"/><Relationship Id="rId34" Type="http://schemas.openxmlformats.org/officeDocument/2006/relationships/hyperlink" Target="https://www.asccc.org/sites/default/files/ASCCC_AI_Resources_2024.pdf" TargetMode="External"/><Relationship Id="rId35" Type="http://schemas.openxmlformats.org/officeDocument/2006/relationships/hyperlink" Target="https://www.ed.gov/higher-education/find-college-or-educational-program/community-college/facts-at-a-gl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