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Inactive oil &amp; gas wells near drinking water protection zones in the Netherlands</w:t>
      </w:r>
    </w:p>
    <w:p>
      <w:pPr>
        <w:pStyle w:val="Heading2"/>
      </w:pPr>
      <w:r>
        <w:t>Question and approach</w:t>
      </w:r>
    </w:p>
    <w:p>
      <w:r>
        <w:t>How many inactive oil and gas wells in the Netherlands are located within or near drinking water protection zones, and which operators are responsible for them?</w:t>
      </w:r>
    </w:p>
    <w:p>
      <w:r>
        <w:t>I was drawn to this question because abandoned or inactive wells can pose environmental risks to drinking water. I found geolocated data on areas designated as protected drinking water sources, which made a spatial analysis possible.</w:t>
      </w:r>
    </w:p>
    <w:p>
      <w:r>
        <w:t>To answer this question, I combined the NLOG borehole register with data from PDOK, which includes maps of groundwater protection zones designated by Dutch provinces.</w:t>
      </w:r>
    </w:p>
    <w:p>
      <w:pPr>
        <w:pStyle w:val="Heading2"/>
      </w:pPr>
      <w:r>
        <w:t>Data preparation</w:t>
      </w:r>
    </w:p>
    <w:p>
      <w:r>
        <w:t>From the NLOG register (6,723 boreholes), I selected relevant fields (location, status, result, ownership) and filtered for onshore wells with three statuses of concern: plugged and abandoned (permanently sealed), suspended (temporarily inactive) and closed-in (shut in but capable of production). I further filtered for boreholes where oil or gas was found, reducing the dataset to 1,878 points.</w:t>
      </w:r>
    </w:p>
    <w:p>
      <w:r>
        <w:t>Water protection zone polygons (originally in EPSG:3035) and borehole coordinates (ED50, EPSG:4230) were both reprojected to RD New (EPSG:28992), a metric coordinate system, so that a 1km buffer could be measured accurately in metres. This was a step where I was assisted by Claude Code, which simplified the coordinate system transformations needed to reproject the data.</w:t>
      </w:r>
    </w:p>
    <w:p>
      <w:pPr>
        <w:pStyle w:val="Heading2"/>
      </w:pPr>
      <w:r>
        <w:t>Findings</w:t>
      </w:r>
    </w:p>
    <w:p>
      <w:r>
        <w:t>Of the 1,878 inactive wells where hydrocarbons were found: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Wells</w:t>
            </w:r>
          </w:p>
        </w:tc>
        <w:tc>
          <w:tcPr>
            <w:tcW w:type="dxa" w:w="2880"/>
          </w:tcPr>
          <w:p>
            <w:r>
              <w:t>%</w:t>
            </w:r>
          </w:p>
        </w:tc>
      </w:tr>
      <w:tr>
        <w:tc>
          <w:tcPr>
            <w:tcW w:type="dxa" w:w="2880"/>
          </w:tcPr>
          <w:p>
            <w:r>
              <w:t>Inside a protection zone</w:t>
            </w:r>
          </w:p>
        </w:tc>
        <w:tc>
          <w:tcPr>
            <w:tcW w:type="dxa" w:w="2880"/>
          </w:tcPr>
          <w:p>
            <w:r>
              <w:t>130</w:t>
            </w:r>
          </w:p>
        </w:tc>
        <w:tc>
          <w:tcPr>
            <w:tcW w:type="dxa" w:w="2880"/>
          </w:tcPr>
          <w:p>
            <w:r>
              <w:t>6.9</w:t>
            </w:r>
          </w:p>
        </w:tc>
      </w:tr>
      <w:tr>
        <w:tc>
          <w:tcPr>
            <w:tcW w:type="dxa" w:w="2880"/>
          </w:tcPr>
          <w:p>
            <w:r>
              <w:t>Within 1km (not inside)</w:t>
            </w:r>
          </w:p>
        </w:tc>
        <w:tc>
          <w:tcPr>
            <w:tcW w:type="dxa" w:w="2880"/>
          </w:tcPr>
          <w:p>
            <w:r>
              <w:t>86</w:t>
            </w:r>
          </w:p>
        </w:tc>
        <w:tc>
          <w:tcPr>
            <w:tcW w:type="dxa" w:w="2880"/>
          </w:tcPr>
          <w:p>
            <w:r>
              <w:t>4.6</w:t>
            </w:r>
          </w:p>
        </w:tc>
      </w:tr>
      <w:tr>
        <w:tc>
          <w:tcPr>
            <w:tcW w:type="dxa" w:w="2880"/>
          </w:tcPr>
          <w:p>
            <w:r>
              <w:t>Outside 1km</w:t>
            </w:r>
          </w:p>
        </w:tc>
        <w:tc>
          <w:tcPr>
            <w:tcW w:type="dxa" w:w="2880"/>
          </w:tcPr>
          <w:p>
            <w:r>
              <w:t>1,662</w:t>
            </w:r>
          </w:p>
        </w:tc>
        <w:tc>
          <w:tcPr>
            <w:tcW w:type="dxa" w:w="2880"/>
          </w:tcPr>
          <w:p>
            <w:r>
              <w:t>88.5</w:t>
            </w:r>
          </w:p>
        </w:tc>
      </w:tr>
      <w:tr>
        <w:tc>
          <w:tcPr>
            <w:tcW w:type="dxa" w:w="2880"/>
          </w:tcPr>
          <w:p>
            <w:r>
              <w:t>Total</w:t>
            </w:r>
          </w:p>
        </w:tc>
        <w:tc>
          <w:tcPr>
            <w:tcW w:type="dxa" w:w="2880"/>
          </w:tcPr>
          <w:p>
            <w:r>
              <w:t>1,878</w:t>
            </w:r>
          </w:p>
        </w:tc>
        <w:tc>
          <w:tcPr>
            <w:tcW w:type="dxa" w:w="2880"/>
          </w:tcPr>
          <w:p>
            <w:r>
              <w:t>100</w:t>
            </w:r>
          </w:p>
        </w:tc>
      </w:tr>
    </w:tbl>
    <w:p/>
    <w:p>
      <w:r>
        <w:t>Zuid-Holland is the most affected province, accounting for roughly two thirds of all wells inside or near protection zones. The area around Rotterdam and The Hague has more than 36% of its inactive wells located inside or within one kilometre of a protected drinking water zone.</w:t>
      </w:r>
    </w:p>
    <w:p>
      <w:r>
        <w:t>Regarding corporate accountability, Nederlandse Aardolie Maatschappij B.V. (NAM) — a joint venture between Shell and ExxonMobil — owns 94% of wells located near water protection zones.</w:t>
      </w:r>
    </w:p>
    <w:p/>
    <w:p>
      <w:r>
        <w:t>[Insert: map]</w:t>
      </w:r>
    </w:p>
    <w:p>
      <w:r>
        <w:t>[Insert: stacked bar chart by province]</w:t>
      </w:r>
    </w:p>
    <w:p/>
    <w:p>
      <w:r>
        <w:t>The historical analysis shows that the bulk of wells located inside or near areas currently designated as protected drinking water sources were drilled between 1954 and 1990, with a significant decline over the last three decades.</w:t>
      </w:r>
    </w:p>
    <w:p>
      <w:pPr>
        <w:pStyle w:val="Heading2"/>
      </w:pPr>
      <w:r>
        <w:t>Further lines of inquiry</w:t>
      </w:r>
    </w:p>
    <w:p>
      <w:pPr>
        <w:pStyle w:val="ListBullet"/>
      </w:pPr>
      <w:r>
        <w:t>Expand the analysis to include other types of protected zones, proximity to populated areas, and cross-reference with socioeconomic data.</w:t>
      </w:r>
    </w:p>
    <w:p>
      <w:pPr>
        <w:pStyle w:val="ListBullet"/>
      </w:pPr>
      <w:r>
        <w:t>Cross-reference with water quality monitoring data to assess whether there is any correlation between inactive wells and detected contamination.</w:t>
      </w:r>
    </w:p>
    <w:p>
      <w:pPr>
        <w:pStyle w:val="ListBullet"/>
      </w:pPr>
      <w:r>
        <w:t>Investigate whether reports exist on the physical condition of inactive wells and any incidents related to lack of maintenance.</w:t>
      </w:r>
    </w:p>
    <w:p>
      <w:pPr>
        <w:pStyle w:val="ListBullet"/>
      </w:pPr>
      <w:r>
        <w:t>Examine who bears the financial liability for remediation: the current owner, the original operator, or the state.</w:t>
      </w:r>
    </w:p>
    <w:p>
      <w:pPr>
        <w:pStyle w:val="ListBullet"/>
      </w:pPr>
      <w:r>
        <w:t>EU Regulation 2024/1787 on methane requires member states to compile public inventories of inactive and abandoned wells and obliges operators to measure and report methane emissions to national authorities and a transparency database. It would be worth investigating whether these reporting obligations are being met and what information they contain.</w:t>
      </w:r>
    </w:p>
    <w:p>
      <w:pPr>
        <w:pStyle w:val="Heading2"/>
      </w:pPr>
      <w:r>
        <w:t>Data quality and limitations</w:t>
      </w:r>
    </w:p>
    <w:p>
      <w:pPr>
        <w:pStyle w:val="ListBullet"/>
      </w:pPr>
      <w:r>
        <w:t>The decision to use designated protection zones and a 1km buffer was purely analytical, intended to identify potentially problematic wells and provide a starting point for a deeper investigation.</w:t>
      </w:r>
    </w:p>
    <w:p>
      <w:pPr>
        <w:pStyle w:val="ListBullet"/>
      </w:pPr>
      <w:r>
        <w:t>Wells are represented as points based on their reported longitude and latitude, but their actual area of influence could be larger.</w:t>
      </w:r>
    </w:p>
    <w:p>
      <w:pPr>
        <w:pStyle w:val="ListBullet"/>
      </w:pPr>
      <w:r>
        <w:t>The water protection zones dataset only covers grondwaterbeschermingsgebieden, not all categories of water protection in the Netherlands.</w:t>
      </w:r>
    </w:p>
    <w:p>
      <w:pPr>
        <w:pStyle w:val="ListBullet"/>
      </w:pPr>
      <w:r>
        <w:t>The NLOG register may not reflect the current physical condition of each well.</w:t>
      </w:r>
    </w:p>
    <w:p>
      <w:pPr>
        <w:pStyle w:val="Heading2"/>
      </w:pPr>
      <w:r>
        <w:t>Use of AI tools</w:t>
      </w:r>
    </w:p>
    <w:p>
      <w:r>
        <w:t>I used Claude Code (Anthropic) to assist with writing Python code, particularly for geospatial operations with GeoPandas (coordinate reprojection, spatial joins and buffers) and for some adjustments and corrections during the coding process.</w:t>
      </w:r>
    </w:p>
    <w:p/>
    <w:p>
      <w:r>
        <w:t xml:space="preserve">Code: </w:t>
      </w:r>
      <w:r>
        <w:rPr>
          <w:b/>
        </w:rPr>
        <w:t>github.com/FUranga/netherlands-wells-water-zones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