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乒乓球Demo第一阶段总结报告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项目概述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本项目以 </w:t>
      </w:r>
      <w:r>
        <w:rPr>
          <w:rFonts w:eastAsia="等线" w:ascii="Arial" w:cs="Arial" w:hAnsi="Arial"/>
          <w:b w:val="true"/>
          <w:sz w:val="22"/>
        </w:rPr>
        <w:t>Moz1 机器人</w:t>
      </w:r>
      <w:r>
        <w:rPr>
          <w:rFonts w:eastAsia="等线" w:ascii="Arial" w:cs="Arial" w:hAnsi="Arial"/>
          <w:sz w:val="22"/>
        </w:rPr>
        <w:t>为核心本体，主要面向高动态操作场景下的机器人感知、决策与控制能力构建开展工作。第一阶段选取</w:t>
      </w:r>
      <w:r>
        <w:rPr>
          <w:rFonts w:eastAsia="等线" w:ascii="Arial" w:cs="Arial" w:hAnsi="Arial"/>
          <w:b w:val="true"/>
          <w:sz w:val="22"/>
        </w:rPr>
        <w:t>垫乒乓球</w:t>
      </w:r>
      <w:r>
        <w:rPr>
          <w:rFonts w:eastAsia="等线" w:ascii="Arial" w:cs="Arial" w:hAnsi="Arial"/>
          <w:sz w:val="22"/>
        </w:rPr>
        <w:t>作为切入任务，旨在通过高速小目标运动状态估计、机器人姿态稳定控制、末端击球动作生成以及仿真到实机迁移等环节，验证 Moz1 在动态交互任务中的综合执行能力。该任务具有</w:t>
      </w:r>
      <w:r>
        <w:rPr>
          <w:rFonts w:eastAsia="等线" w:ascii="Arial" w:cs="Arial" w:hAnsi="Arial"/>
          <w:b w:val="true"/>
          <w:sz w:val="22"/>
        </w:rPr>
        <w:t>目标运动速度快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b w:val="true"/>
          <w:sz w:val="22"/>
        </w:rPr>
        <w:t>感知与控制时序要求高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b w:val="true"/>
          <w:sz w:val="22"/>
        </w:rPr>
        <w:t>接触过程短暂</w:t>
      </w:r>
      <w:r>
        <w:rPr>
          <w:rFonts w:eastAsia="等线" w:ascii="Arial" w:cs="Arial" w:hAnsi="Arial"/>
          <w:sz w:val="22"/>
        </w:rPr>
        <w:t>且</w:t>
      </w:r>
      <w:r>
        <w:rPr>
          <w:rFonts w:eastAsia="等线" w:ascii="Arial" w:cs="Arial" w:hAnsi="Arial"/>
          <w:b w:val="true"/>
          <w:sz w:val="22"/>
        </w:rPr>
        <w:t>对动作精度敏感</w:t>
      </w:r>
      <w:r>
        <w:rPr>
          <w:rFonts w:eastAsia="等线" w:ascii="Arial" w:cs="Arial" w:hAnsi="Arial"/>
          <w:sz w:val="22"/>
        </w:rPr>
        <w:t>等特点，因此可作为机器人高动态操作能力的重要阶段性验证场景。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项目整体方案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本项目第一阶段采用</w:t>
      </w:r>
      <w:r>
        <w:rPr>
          <w:rFonts w:eastAsia="等线" w:ascii="Arial" w:cs="Arial" w:hAnsi="Arial"/>
          <w:b w:val="true"/>
          <w:sz w:val="22"/>
        </w:rPr>
        <w:t>感知与控制解耦</w:t>
      </w:r>
      <w:r>
        <w:rPr>
          <w:rFonts w:eastAsia="等线" w:ascii="Arial" w:cs="Arial" w:hAnsi="Arial"/>
          <w:sz w:val="22"/>
        </w:rPr>
        <w:t xml:space="preserve">的整体框架。针对现实感知与仿真环境之间存在较大 </w:t>
      </w:r>
      <w:r>
        <w:rPr>
          <w:rFonts w:eastAsia="等线" w:ascii="Arial" w:cs="Arial" w:hAnsi="Arial"/>
          <w:b w:val="true"/>
          <w:sz w:val="22"/>
        </w:rPr>
        <w:t>Sim-to-Real Gap</w:t>
      </w:r>
      <w:r>
        <w:rPr>
          <w:rFonts w:eastAsia="等线" w:ascii="Arial" w:cs="Arial" w:hAnsi="Arial"/>
          <w:sz w:val="22"/>
        </w:rPr>
        <w:t xml:space="preserve"> 的问题，感知部分在真实系统中采用“</w:t>
      </w:r>
      <w:r>
        <w:rPr>
          <w:rFonts w:eastAsia="等线" w:ascii="Arial" w:cs="Arial" w:hAnsi="Arial"/>
          <w:b w:val="true"/>
          <w:sz w:val="22"/>
        </w:rPr>
        <w:t>目标分割—类圆拟合—几何感知</w:t>
      </w:r>
      <w:r>
        <w:rPr>
          <w:rFonts w:eastAsia="等线" w:ascii="Arial" w:cs="Arial" w:hAnsi="Arial"/>
          <w:sz w:val="22"/>
        </w:rPr>
        <w:t>”链路，实现乒乓球位置与速度提取；控制部分则采用“</w:t>
      </w:r>
      <w:r>
        <w:rPr>
          <w:rFonts w:eastAsia="等线" w:ascii="Arial" w:cs="Arial" w:hAnsi="Arial"/>
          <w:b w:val="true"/>
          <w:sz w:val="22"/>
        </w:rPr>
        <w:t>仿真训练—域随机化—真实迁移</w:t>
      </w:r>
      <w:r>
        <w:rPr>
          <w:rFonts w:eastAsia="等线" w:ascii="Arial" w:cs="Arial" w:hAnsi="Arial"/>
          <w:sz w:val="22"/>
        </w:rPr>
        <w:t>”的方式，训练机器人完成姿态保持与连续垫球控制。整体方案如下图所示：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431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项目技术路线与现阶段成果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项目本阶段的技术路线与阶段性成果将从前端视觉感知、后端强化学习控制策略以及融合真机测试三部分进行介绍。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3.1 视觉感知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3.1.1 整体技术路线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受计算资源与实时训练效率限制，整体策略训练主要在 </w:t>
      </w:r>
      <w:r>
        <w:rPr>
          <w:rFonts w:eastAsia="等线" w:ascii="Arial" w:cs="Arial" w:hAnsi="Arial"/>
          <w:b w:val="true"/>
          <w:sz w:val="22"/>
        </w:rPr>
        <w:t>MuJoCo 仿真平台</w:t>
      </w:r>
      <w:r>
        <w:rPr>
          <w:rFonts w:eastAsia="等线" w:ascii="Arial" w:cs="Arial" w:hAnsi="Arial"/>
          <w:sz w:val="22"/>
        </w:rPr>
        <w:t>中完成。考虑到 MuJoCo 在视觉渲染、相机成像以及图像噪声模拟方面与真实环境仍存在较大差异，本项目未直接采用仿真图像作为策略输入，而是在真实系统中对相机图像进行处理，提取后续控制策略所需的乒乓球位置与速度等状态信息。整体技术路线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u w:val="single"/>
        </w:rPr>
        <w:t>图像输入</w:t>
      </w:r>
      <w:r>
        <w:rPr>
          <w:rFonts w:eastAsia="等线" w:ascii="Arial" w:cs="Arial" w:hAnsi="Arial"/>
          <w:sz w:val="22"/>
        </w:rPr>
        <w:t>：使用 Realsense D455 相机，以 848*480 分辨率，60hz，ROS topic 通信得到实时感知的外部图像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u w:val="single"/>
        </w:rPr>
        <w:t>去畸变</w:t>
      </w:r>
      <w:r>
        <w:rPr>
          <w:rFonts w:eastAsia="等线" w:ascii="Arial" w:cs="Arial" w:hAnsi="Arial"/>
          <w:sz w:val="22"/>
        </w:rPr>
        <w:t>：利用</w:t>
      </w:r>
      <w:r>
        <w:rPr>
          <w:rFonts w:eastAsia="Consolas" w:ascii="Consolas" w:cs="Consolas" w:hAnsi="Consolas"/>
          <w:sz w:val="22"/>
          <w:shd w:fill="EFF0F1"/>
        </w:rPr>
        <w:t xml:space="preserve"> opencv.remap() </w:t>
      </w:r>
      <w:r>
        <w:rPr>
          <w:rFonts w:eastAsia="等线" w:ascii="Arial" w:cs="Arial" w:hAnsi="Arial"/>
          <w:sz w:val="22"/>
        </w:rPr>
        <w:t>结合相机内参（Realsense较为准确，尚未标定）进行图像去畸变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u w:val="single"/>
        </w:rPr>
        <w:t>YOLO分割检测</w:t>
      </w:r>
      <w:r>
        <w:rPr>
          <w:rFonts w:eastAsia="等线" w:ascii="Arial" w:cs="Arial" w:hAnsi="Arial"/>
          <w:sz w:val="22"/>
        </w:rPr>
        <w:t>：基于 Yolo-seg-26n 模型，结合自制数据集后训练，对于球体 mask 输出，取置信度最高者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u w:val="single"/>
        </w:rPr>
        <w:t>颜色Fallback</w:t>
      </w:r>
      <w:r>
        <w:rPr>
          <w:rFonts w:eastAsia="等线" w:ascii="Arial" w:cs="Arial" w:hAnsi="Arial"/>
          <w:sz w:val="22"/>
        </w:rPr>
        <w:t>：若 YOLO 漏检，使用 HSV 颜色阈值在上一帧球附近的 ROI 寻找桔黄色区域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u w:val="single"/>
        </w:rPr>
        <w:t>颜色验证与mask细化</w:t>
      </w:r>
      <w:r>
        <w:rPr>
          <w:rFonts w:eastAsia="等线" w:ascii="Arial" w:cs="Arial" w:hAnsi="Arial"/>
          <w:sz w:val="22"/>
        </w:rPr>
        <w:t>：在 YOLO mask 中寻找桔黄色 HSV 范围，提取更稳定的联通区域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u w:val="single"/>
        </w:rPr>
        <w:t>圆拟合</w:t>
      </w:r>
      <w:r>
        <w:rPr>
          <w:rFonts w:eastAsia="等线" w:ascii="Arial" w:cs="Arial" w:hAnsi="Arial"/>
          <w:sz w:val="22"/>
        </w:rPr>
        <w:t xml:space="preserve">：对于最终的 mask 找最大轮廓，用 </w:t>
      </w:r>
      <w:r>
        <w:rPr>
          <w:rFonts w:eastAsia="Consolas" w:ascii="Consolas" w:cs="Consolas" w:hAnsi="Consolas"/>
          <w:sz w:val="22"/>
          <w:shd w:fill="EFF0F1"/>
        </w:rPr>
        <w:t>cv2.minEnclosingCircle()</w:t>
      </w:r>
      <w:r>
        <w:rPr>
          <w:rFonts w:eastAsia="等线" w:ascii="Arial" w:cs="Arial" w:hAnsi="Arial"/>
          <w:sz w:val="22"/>
        </w:rPr>
        <w:t>拟合圆，得到图像中心与像素半径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u w:val="single"/>
        </w:rPr>
        <w:t>拖影检测与修正</w:t>
      </w:r>
      <w:r>
        <w:rPr>
          <w:rFonts w:eastAsia="等线" w:ascii="Arial" w:cs="Arial" w:hAnsi="Arial"/>
          <w:sz w:val="22"/>
        </w:rPr>
        <w:t>：对于轮廓的长宽比、圆度、半径突变等指标进行检查，若出现拖影，根据历史运动方向或轮廓长轴端点修正球心和半径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u w:val="single"/>
        </w:rPr>
        <w:t>像素级平滑</w:t>
      </w:r>
      <w:r>
        <w:rPr>
          <w:rFonts w:eastAsia="等线" w:ascii="Arial" w:cs="Arial" w:hAnsi="Arial"/>
          <w:sz w:val="22"/>
        </w:rPr>
        <w:t>：对球心以及像素半径使用 One Euro Filter 做低延迟平滑，遇到中心跳变或半径突变时，会先做弱更新，避免异常值直接影响 3D 计算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u w:val="single"/>
        </w:rPr>
        <w:t>单目几何测距</w:t>
      </w:r>
      <w:r>
        <w:rPr>
          <w:rFonts w:eastAsia="等线" w:ascii="Arial" w:cs="Arial" w:hAnsi="Arial"/>
          <w:sz w:val="22"/>
        </w:rPr>
        <w:t>：利用已知乒乓球半径和图像半径估计深度：Z = f * D / (2 * r)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u w:val="single"/>
        </w:rPr>
        <w:t>3D反投影</w:t>
      </w:r>
      <w:r>
        <w:rPr>
          <w:rFonts w:eastAsia="等线" w:ascii="Arial" w:cs="Arial" w:hAnsi="Arial"/>
          <w:sz w:val="22"/>
        </w:rPr>
        <w:t>：利用相机内参把像素坐标和深度转成相机光心坐标系下的3D位置，后通过外参转换到机器人 Base 系：X = (cx - cx0) * Z / fx，Y = (cy - cy0) * Z / fy，Z = depth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3.1.2 现阶段性成果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围绕上述技术路径已完成以下成果：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 Realsense D455 机器人外参标定，相关流程可参考</w:t>
      </w:r>
      <w:hyperlink r:id="rId6">
        <w:r>
          <w:rPr>
            <w:rFonts w:eastAsia="等线" w:ascii="Arial" w:cs="Arial" w:hAnsi="Arial"/>
            <w:color w:val="3370ff"/>
            <w:sz w:val="22"/>
          </w:rPr>
          <w:t>乒乓球Demo第一阶段总结与交接报告</w:t>
        </w:r>
      </w:hyperlink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 YOLO 检测模型后训练，相关数据集采集和模型训练流程可参考</w:t>
      </w:r>
      <w:hyperlink r:id="rId7">
        <w:r>
          <w:rPr>
            <w:rFonts w:eastAsia="等线" w:ascii="Arial" w:cs="Arial" w:hAnsi="Arial"/>
            <w:color w:val="3370ff"/>
            <w:sz w:val="22"/>
          </w:rPr>
          <w:t>乒乓球Demo第一阶段总结与交接报告</w:t>
        </w:r>
      </w:hyperlink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完成相关算法开发与上机实测，但目前测试效果仅限于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在球体保持静止时，感知系统输出的球体状态应具备良好的稳定性，位置波动较小，速度估计接近零。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在机器人 </w:t>
      </w:r>
      <w:r>
        <w:rPr>
          <w:rFonts w:eastAsia="等线" w:ascii="Arial" w:cs="Arial" w:hAnsi="Arial"/>
          <w:b w:val="true"/>
          <w:sz w:val="22"/>
        </w:rPr>
        <w:t>Base 坐标系</w:t>
      </w:r>
      <w:r>
        <w:rPr>
          <w:rFonts w:eastAsia="等线" w:ascii="Arial" w:cs="Arial" w:hAnsi="Arial"/>
          <w:sz w:val="22"/>
        </w:rPr>
        <w:t xml:space="preserve">下，使末端沿 </w:t>
      </w:r>
      <w:r>
        <w:rPr>
          <w:rFonts w:eastAsia="等线" w:ascii="Arial" w:cs="Arial" w:hAnsi="Arial"/>
          <w:b w:val="true"/>
          <w:sz w:val="22"/>
        </w:rPr>
        <w:t>X/Y/Z 任一单轴方向</w:t>
      </w:r>
      <w:r>
        <w:rPr>
          <w:rFonts w:eastAsia="等线" w:ascii="Arial" w:cs="Arial" w:hAnsi="Arial"/>
          <w:sz w:val="22"/>
        </w:rPr>
        <w:t>运动时，其他两个轴向的位置保持不变。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完成 25 分钟的定位压测。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整体可视化如下图，按顺序分别为（静止状态、分别在XZ YZ Z做正弦运动）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1857375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1857375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压测相关图像及指标如下图所示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1800225"/>
                  <wp:docPr id="3" name="Drawing 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1685925"/>
                  <wp:docPr id="4" name="Drawing 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68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总览时序图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稳定性分布图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1800225"/>
                  <wp:docPr id="5" name="Drawing 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2114550"/>
                  <wp:docPr id="6" name="Drawing 6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2114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漂移与滚动统计图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空间散点与采样图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对应的压测相关指标：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位置稳定性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60"/>
        <w:gridCol w:w="1260"/>
        <w:gridCol w:w="1260"/>
        <w:gridCol w:w="2010"/>
        <w:gridCol w:w="1260"/>
        <w:gridCol w:w="1260"/>
      </w:tblGrid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Axis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Mean (mm)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Std (mm)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Peak-to-Peak (mm)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P95 (mm)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P99 (mm)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dx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127.90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0.6053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4.40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1.2955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1.6955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dy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-357.50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1.3098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10.100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2.7987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3.6987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dz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1033.21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1.7820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14.000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3.8088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4.9088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u w:val="single"/>
        </w:rPr>
        <w:t>3d 位置误差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指标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Mean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Std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RMS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Max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P95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P99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值 (mm)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1.7677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1.4605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2.2929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9.0444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4.9096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6.3705</w:t>
            </w:r>
          </w:p>
        </w:tc>
      </w:tr>
    </w:tbl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P95/P99：前95%（或99%）最大的误差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u w:val="single"/>
        </w:rPr>
        <w:t>长期漂移</w:t>
      </w:r>
      <w:r>
        <w:rPr>
          <w:rFonts w:eastAsia="等线" w:ascii="Arial" w:cs="Arial" w:hAnsi="Arial"/>
          <w:sz w:val="22"/>
        </w:rPr>
        <w:t>：指的是测量值随时间的系统性偏移趋势，即使目标物体完全静止不动，测量结果也会缓慢地朝某个方向"漂移"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70"/>
        <w:gridCol w:w="1065"/>
        <w:gridCol w:w="795"/>
        <w:gridCol w:w="960"/>
        <w:gridCol w:w="1065"/>
        <w:gridCol w:w="870"/>
        <w:gridCol w:w="870"/>
        <w:gridCol w:w="870"/>
        <w:gridCol w:w="870"/>
      </w:tblGrid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Axis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Drift (mm/min)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Drift (mm)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R2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p-value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前10%位置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中10%位置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后10%位置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差值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x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-0.04301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-0.93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0.197319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0.00e+00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128.152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127.920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127.436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-0.716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0.08304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1.80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0.157134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0.00e+00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-357.890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357.531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356.581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+1.309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z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0.11680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2.53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0.167931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0.00e+00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1032.651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1033.166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1034.506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+1.855</w:t>
            </w:r>
          </w:p>
        </w:tc>
      </w:tr>
    </w:tbl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R2：线性模型可以解释的数据变化，说明漂移虽然存在，但不是主导因素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p-value：显著性概率，说明漂移真实存在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速度稳定性：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980"/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Axis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Mean (mm/s)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Std (mm/s)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P95 (mm/s)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P99 (mm/s)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vx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-0.000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2.459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5.000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6.900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vy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+0.001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5.608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11.500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15.900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vz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+0.001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7.506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15.200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21.100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speed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7.551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6.068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19.611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27.173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u w:val="single"/>
        </w:rPr>
        <w:t>速度分布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35"/>
        <w:gridCol w:w="1335"/>
        <w:gridCol w:w="1335"/>
        <w:gridCol w:w="1335"/>
        <w:gridCol w:w="1335"/>
        <w:gridCol w:w="1335"/>
      </w:tblGrid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阈值 (mm/s)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50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数量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43860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21131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3586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393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百分比 （%）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56.59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27.26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4.63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0.51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0.00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3.2 强化学习控制策略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3.2.1 整体技术路线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强化学习的整体控制路线主要在MuJoCo仿真平台上进行搭建，首先基于URDF对于底层的关节驱动器进行整定，利用位置控制实现关节角度的跟踪。为实现迁移时对于关节角速度阈值和加速度阈值的适应，选择包含右臂关节角（7DoF）、关节角速度（7DoF）、底盘状态速度（6DoF，为后续扩展）、球体在机器人坐标系下位置速度（6DoF）、球拍末端在机器人坐标系下位置速度（6DoF）、球相对于球拍位置（3DoF）、上一帧动作（7DoF）、控制响应误差（7DoF）以及球观测延迟/丢失时间归一化（1DoF），动作选择归一化关节加速度指令，在环境里面积分成速度和位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并在此基础之上，设计了18阶段的课程学习（包含前期触球策略、稳定击球以及后期的姿态节奏调整和域随机化相关内容），具体如下表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05"/>
        <w:gridCol w:w="3255"/>
        <w:gridCol w:w="1005"/>
        <w:gridCol w:w="3000"/>
      </w:tblGrid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阶段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课程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阶段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课程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1a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固定落球，先学会基本击球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3a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加强动作平滑和硬件速度/加速度限制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1b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加入很小的初始球随机性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3b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加入轻量相机可见性约束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1c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加入观测噪声，并开始约束球回中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4a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加入球本身的轻量 domain randomization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1d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从被动接球过渡到主动控球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4b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加入球拍/球接触参数随机化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1e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扩大球随机性，巩固稳定击球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4c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加入轻量执行器随机化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1f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加入击球节奏约束，避免乱拍/连拍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加入延迟随机化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2a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温和引导球往中心区域回收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加入球拍安装误差随机化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2b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强化中心击球和水平速度控制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4f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最终综合 DR，加相机约束和短时丢观测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2c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重点约束 base-x，让球更贴近机器人前方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4g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加强接触随机化，做最后鲁棒性增强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3.2.2 现阶段性成果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已经在仿真中完成全部课程学习闭环，并实现连续击打。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[juggle_dr_ep001.gif]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[juggle_dr_ep002.gif]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项目文档交接与使用教程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现已经完成全链路的代码开发，</w:t>
      </w:r>
      <w:r>
        <w:rPr>
          <w:rFonts w:eastAsia="等线" w:ascii="Arial" w:cs="Arial" w:hAnsi="Arial"/>
          <w:sz w:val="22"/>
        </w:rPr>
        <w:t>具体参考</w:t>
      </w:r>
      <w:hyperlink r:id="rId14">
        <w:r>
          <w:rPr>
            <w:rFonts w:eastAsia="等线" w:ascii="Arial" w:cs="Arial" w:hAnsi="Arial"/>
            <w:color w:val="3370ff"/>
            <w:sz w:val="22"/>
          </w:rPr>
          <w:t>乒乓球Demo交接文档</w:t>
        </w:r>
      </w:hyperlink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color w:val="3370ff"/>
          <w:sz w:val="36"/>
        </w:rPr>
        <w:t xml:space="preserve">5. </w:t>
      </w:r>
      <w:r>
        <w:rPr>
          <w:rFonts w:eastAsia="等线" w:ascii="Arial" w:cs="Arial" w:hAnsi="Arial"/>
          <w:b w:val="true"/>
          <w:sz w:val="36"/>
        </w:rPr>
        <w:t>项目后续安排和计划</w:t>
      </w:r>
      <w:bookmarkEnd w:id="10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实机测试上述方案与训练结果效果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若效果良好，可拓展至</w:t>
      </w:r>
      <w:hyperlink r:id="rId15">
        <w:r>
          <w:rPr>
            <w:rFonts w:eastAsia="等线" w:ascii="Arial" w:cs="Arial" w:hAnsi="Arial"/>
            <w:color w:val="3370ff"/>
            <w:sz w:val="22"/>
          </w:rPr>
          <w:t>High-Speed Dynamic Manipulation</w:t>
        </w:r>
      </w:hyperlink>
      <w:r>
        <w:rPr>
          <w:rFonts w:eastAsia="等线" w:ascii="Arial" w:cs="Arial" w:hAnsi="Arial"/>
          <w:sz w:val="22"/>
        </w:rPr>
        <w:t>后续阶段Demo</w:t>
      </w:r>
    </w:p>
    <w:sectPr>
      <w:footerReference w:type="default" r:id="rId3"/>
      <w:headerReference w:type="default" r:id="rId1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94519">
    <w:lvl>
      <w:numFmt w:val="bullet"/>
      <w:suff w:val="tab"/>
      <w:lvlText w:val="•"/>
      <w:rPr>
        <w:color w:val="3370ff"/>
      </w:rPr>
    </w:lvl>
  </w:abstractNum>
  <w:abstractNum w:abstractNumId="1094520">
    <w:lvl>
      <w:numFmt w:val="bullet"/>
      <w:suff w:val="tab"/>
      <w:lvlText w:val="•"/>
      <w:rPr>
        <w:color w:val="3370ff"/>
      </w:rPr>
    </w:lvl>
  </w:abstractNum>
  <w:abstractNum w:abstractNumId="1094521">
    <w:lvl>
      <w:numFmt w:val="bullet"/>
      <w:suff w:val="tab"/>
      <w:lvlText w:val="•"/>
      <w:rPr>
        <w:color w:val="3370ff"/>
      </w:rPr>
    </w:lvl>
  </w:abstractNum>
  <w:abstractNum w:abstractNumId="1094522">
    <w:lvl>
      <w:numFmt w:val="bullet"/>
      <w:suff w:val="tab"/>
      <w:lvlText w:val="•"/>
      <w:rPr>
        <w:color w:val="3370ff"/>
      </w:rPr>
    </w:lvl>
  </w:abstractNum>
  <w:abstractNum w:abstractNumId="1094523">
    <w:lvl>
      <w:numFmt w:val="bullet"/>
      <w:suff w:val="tab"/>
      <w:lvlText w:val="•"/>
      <w:rPr>
        <w:color w:val="3370ff"/>
      </w:rPr>
    </w:lvl>
  </w:abstractNum>
  <w:abstractNum w:abstractNumId="1094524">
    <w:lvl>
      <w:numFmt w:val="bullet"/>
      <w:suff w:val="tab"/>
      <w:lvlText w:val="•"/>
      <w:rPr>
        <w:color w:val="3370ff"/>
      </w:rPr>
    </w:lvl>
  </w:abstractNum>
  <w:abstractNum w:abstractNumId="1094525">
    <w:lvl>
      <w:numFmt w:val="bullet"/>
      <w:suff w:val="tab"/>
      <w:lvlText w:val="•"/>
      <w:rPr>
        <w:color w:val="3370ff"/>
      </w:rPr>
    </w:lvl>
  </w:abstractNum>
  <w:abstractNum w:abstractNumId="1094526">
    <w:lvl>
      <w:numFmt w:val="bullet"/>
      <w:suff w:val="tab"/>
      <w:lvlText w:val="•"/>
      <w:rPr>
        <w:color w:val="3370ff"/>
      </w:rPr>
    </w:lvl>
  </w:abstractNum>
  <w:abstractNum w:abstractNumId="1094527">
    <w:lvl>
      <w:numFmt w:val="bullet"/>
      <w:suff w:val="tab"/>
      <w:lvlText w:val="•"/>
      <w:rPr>
        <w:color w:val="3370ff"/>
      </w:rPr>
    </w:lvl>
  </w:abstractNum>
  <w:abstractNum w:abstractNumId="1094528">
    <w:lvl>
      <w:numFmt w:val="bullet"/>
      <w:suff w:val="tab"/>
      <w:lvlText w:val="•"/>
      <w:rPr>
        <w:color w:val="3370ff"/>
      </w:rPr>
    </w:lvl>
  </w:abstractNum>
  <w:abstractNum w:abstractNumId="1094529">
    <w:lvl>
      <w:numFmt w:val="bullet"/>
      <w:suff w:val="tab"/>
      <w:lvlText w:val="•"/>
      <w:rPr>
        <w:color w:val="3370ff"/>
      </w:rPr>
    </w:lvl>
  </w:abstractNum>
  <w:abstractNum w:abstractNumId="1094530">
    <w:lvl>
      <w:numFmt w:val="bullet"/>
      <w:suff w:val="tab"/>
      <w:lvlText w:val="•"/>
      <w:rPr>
        <w:color w:val="3370ff"/>
      </w:rPr>
    </w:lvl>
  </w:abstractNum>
  <w:abstractNum w:abstractNumId="1094531">
    <w:lvl>
      <w:numFmt w:val="bullet"/>
      <w:suff w:val="tab"/>
      <w:lvlText w:val="•"/>
      <w:rPr>
        <w:color w:val="3370ff"/>
      </w:rPr>
    </w:lvl>
  </w:abstractNum>
  <w:abstractNum w:abstractNumId="1094532">
    <w:lvl>
      <w:numFmt w:val="bullet"/>
      <w:suff w:val="tab"/>
      <w:lvlText w:val="￮"/>
      <w:rPr>
        <w:color w:val="3370ff"/>
      </w:rPr>
    </w:lvl>
  </w:abstractNum>
  <w:abstractNum w:abstractNumId="1094533">
    <w:lvl>
      <w:numFmt w:val="bullet"/>
      <w:suff w:val="tab"/>
      <w:lvlText w:val="￮"/>
      <w:rPr>
        <w:color w:val="3370ff"/>
      </w:rPr>
    </w:lvl>
  </w:abstractNum>
  <w:abstractNum w:abstractNumId="1094534">
    <w:lvl>
      <w:numFmt w:val="bullet"/>
      <w:suff w:val="tab"/>
      <w:lvlText w:val="￮"/>
      <w:rPr>
        <w:color w:val="3370ff"/>
      </w:rPr>
    </w:lvl>
  </w:abstractNum>
  <w:abstractNum w:abstractNumId="1094535">
    <w:lvl>
      <w:numFmt w:val="bullet"/>
      <w:suff w:val="tab"/>
      <w:lvlText w:val="•"/>
      <w:rPr>
        <w:color w:val="3370ff"/>
      </w:rPr>
    </w:lvl>
  </w:abstractNum>
  <w:abstractNum w:abstractNumId="1094536">
    <w:lvl>
      <w:numFmt w:val="bullet"/>
      <w:suff w:val="tab"/>
      <w:lvlText w:val="•"/>
      <w:rPr>
        <w:color w:val="3370ff"/>
      </w:rPr>
    </w:lvl>
  </w:abstractNum>
  <w:abstractNum w:abstractNumId="1094537">
    <w:lvl>
      <w:numFmt w:val="bullet"/>
      <w:suff w:val="space"/>
      <w:lvlText w:val="□"/>
    </w:lvl>
  </w:abstractNum>
  <w:abstractNum w:abstractNumId="1094538">
    <w:lvl>
      <w:numFmt w:val="bullet"/>
      <w:suff w:val="space"/>
      <w:lvlText w:val="□"/>
    </w:lvl>
  </w:abstractNum>
  <w:num w:numId="1">
    <w:abstractNumId w:val="1094519"/>
  </w:num>
  <w:num w:numId="2">
    <w:abstractNumId w:val="1094520"/>
  </w:num>
  <w:num w:numId="3">
    <w:abstractNumId w:val="1094521"/>
  </w:num>
  <w:num w:numId="4">
    <w:abstractNumId w:val="1094522"/>
  </w:num>
  <w:num w:numId="5">
    <w:abstractNumId w:val="1094523"/>
  </w:num>
  <w:num w:numId="6">
    <w:abstractNumId w:val="1094524"/>
  </w:num>
  <w:num w:numId="7">
    <w:abstractNumId w:val="1094525"/>
  </w:num>
  <w:num w:numId="8">
    <w:abstractNumId w:val="1094526"/>
  </w:num>
  <w:num w:numId="9">
    <w:abstractNumId w:val="1094527"/>
  </w:num>
  <w:num w:numId="10">
    <w:abstractNumId w:val="1094528"/>
  </w:num>
  <w:num w:numId="11">
    <w:abstractNumId w:val="1094529"/>
  </w:num>
  <w:num w:numId="12">
    <w:abstractNumId w:val="1094530"/>
  </w:num>
  <w:num w:numId="13">
    <w:abstractNumId w:val="1094531"/>
  </w:num>
  <w:num w:numId="14">
    <w:abstractNumId w:val="1094532"/>
  </w:num>
  <w:num w:numId="15">
    <w:abstractNumId w:val="1094533"/>
  </w:num>
  <w:num w:numId="16">
    <w:abstractNumId w:val="1094534"/>
  </w:num>
  <w:num w:numId="17">
    <w:abstractNumId w:val="1094535"/>
  </w:num>
  <w:num w:numId="18">
    <w:abstractNumId w:val="1094536"/>
  </w:num>
  <w:num w:numId="19">
    <w:abstractNumId w:val="1094537"/>
  </w:num>
  <w:num w:numId="20">
    <w:abstractNumId w:val="109453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4.png" Type="http://schemas.openxmlformats.org/officeDocument/2006/relationships/image"/><Relationship Id="rId11" Target="media/image5.png" Type="http://schemas.openxmlformats.org/officeDocument/2006/relationships/image"/><Relationship Id="rId12" Target="media/image6.png" Type="http://schemas.openxmlformats.org/officeDocument/2006/relationships/image"/><Relationship Id="rId13" Target="media/image7.png" Type="http://schemas.openxmlformats.org/officeDocument/2006/relationships/image"/><Relationship Id="rId14" Target="https://ecng369l6kr3.feishu.cn/wiki/BDOYwzCPwi6ekWkbqSQcVf0unhb#part-ZcZwdQktMosA4mx8wQRc5uk5nve" TargetMode="External" Type="http://schemas.openxmlformats.org/officeDocument/2006/relationships/hyperlink"/><Relationship Id="rId15" Target="https://ecng369l6kr3.feishu.cn/wiki/Z6DQwYt0iihV0ckHjNVc4thOnbd" TargetMode="External" Type="http://schemas.openxmlformats.org/officeDocument/2006/relationships/hyperlink"/><Relationship Id="rId16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numbering.xml" Type="http://schemas.openxmlformats.org/officeDocument/2006/relationships/numbering"/><Relationship Id="rId6" Target="https://ecng369l6kr3.feishu.cn/wiki/ZDIFwC2AYiwcE3kwnLscZmzDnAe#share-YWy6dlngNoxRupxTU8BcZj8enZb" TargetMode="External" Type="http://schemas.openxmlformats.org/officeDocument/2006/relationships/hyperlink"/><Relationship Id="rId7" Target="https://ecng369l6kr3.feishu.cn/wiki/ZDIFwC2AYiwcE3kwnLscZmzDnAe#share-QEvedA5ANobwiLxW7T5cADmJnyg" TargetMode="External" Type="http://schemas.openxmlformats.org/officeDocument/2006/relationships/hyperlink"/><Relationship Id="rId8" Target="media/image2.png" Type="http://schemas.openxmlformats.org/officeDocument/2006/relationships/image"/><Relationship Id="rId9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2026-05-24T06:16:29Z</dcterms:created>
  <dc:creator>Apache POI</dc:creator>
</cp:coreProperties>
</file>