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307A51">
      <w:pPr>
        <w:pStyle w:val="31"/>
        <w:jc w:val="center"/>
        <w:rPr>
          <w:rFonts w:hint="eastAsia" w:ascii="华文楷体" w:hAnsi="华文楷体" w:eastAsia="华文楷体" w:cs="华文楷体"/>
          <w:b/>
          <w:bCs/>
          <w:lang w:eastAsia="zh-CN"/>
        </w:rPr>
      </w:pPr>
      <w:r>
        <w:rPr>
          <w:rFonts w:hint="eastAsia" w:ascii="华文楷体" w:hAnsi="华文楷体" w:eastAsia="华文楷体" w:cs="华文楷体"/>
          <w:b/>
          <w:bCs/>
          <w:lang w:eastAsia="zh-CN"/>
        </w:rPr>
        <w:t>人才招募系统风险管理文档</w:t>
      </w:r>
    </w:p>
    <w:p w14:paraId="402F9D7A">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本风险管理文档旨在全面识别和评估人才招募系统在开发与运行过程中可能面临的安全、数据正确性和系统稳定性等方面的风险，并制定相应的缓解措施以降低潜在威胁对系统带来的影响，保障系统的稳定、高效与安全运行。</w:t>
      </w:r>
    </w:p>
    <w:p w14:paraId="7525C908">
      <w:pPr>
        <w:rPr>
          <w:rFonts w:hint="eastAsia" w:ascii="华文楷体" w:hAnsi="华文楷体" w:eastAsia="华文楷体" w:cs="华文楷体"/>
          <w:b/>
          <w:bCs/>
          <w:color w:val="558ED5" w:themeColor="text2" w:themeTint="99"/>
          <w:sz w:val="28"/>
          <w:szCs w:val="28"/>
          <w:lang w:eastAsia="zh-CN"/>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8"/>
          <w:szCs w:val="28"/>
          <w:lang w:eastAsia="zh-CN"/>
          <w14:textFill>
            <w14:solidFill>
              <w14:schemeClr w14:val="tx2">
                <w14:lumMod w14:val="60000"/>
                <w14:lumOff w14:val="40000"/>
              </w14:schemeClr>
            </w14:solidFill>
          </w14:textFill>
        </w:rPr>
        <w:t>一、安全方面</w:t>
      </w:r>
    </w:p>
    <w:p w14:paraId="62458835">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安全性是人才招募系统的基础保障。由于该系统涉及大量敏感数据（如应聘者个人信息、招聘单位资料等），若在设计和实现过程中未采取足够的安全策略，系统将面临来自网络攻击、依赖组件漏洞等多方面的威胁。</w:t>
      </w:r>
    </w:p>
    <w:p w14:paraId="5DED492E">
      <w:pPr>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t>（一）数据传输安全风险</w:t>
      </w:r>
    </w:p>
    <w:p w14:paraId="731D60FE">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在应聘者登录、简历投递、企业查看等操作中，系统会频繁传输个人敏感数据。若系统未启用 HTTPS 等加密协议，或未使用完整的 SSL/TLS 安全链路，将极易被攻击者通过中间人攻击（MITM）监听或篡改数据包，导致隐私泄露或伪造数据流入系统。</w:t>
      </w:r>
    </w:p>
    <w:p w14:paraId="6B7DF2D9">
      <w:pPr>
        <w:rPr>
          <w:rFonts w:hint="eastAsia" w:ascii="华文楷体" w:hAnsi="华文楷体" w:eastAsia="华文楷体" w:cs="华文楷体"/>
          <w:lang w:eastAsia="zh-CN"/>
        </w:rPr>
      </w:pPr>
      <w:r>
        <w:rPr>
          <w:rFonts w:hint="eastAsia" w:ascii="华文楷体" w:hAnsi="华文楷体" w:eastAsia="华文楷体" w:cs="华文楷体"/>
          <w:lang w:eastAsia="zh-CN"/>
        </w:rPr>
        <w:t>缓解措施包括：</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1. 系统部署强制使用 HTTPS 协议，所有接口使用 TLS 1.2 以上加密标准；</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2. 使用 HSTS 策略防止协议降级攻击；</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3. 登录、密码重置等敏感操作引入前端 RSA 加密机制，避免明文泄露；</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4. 对请求增加时间戳和签名机制，避免重放攻击。</w:t>
      </w:r>
    </w:p>
    <w:p w14:paraId="43F93EB0">
      <w:pPr>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t>（二）依赖库安全风险</w:t>
      </w:r>
    </w:p>
    <w:p w14:paraId="4BE6B4E9">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系统构建往往依赖于大量第三方开源库（如Spring、Apache Commons、MyBatis等）。如果其中某个组件存在安全漏洞（例如命令注入、远程代码执行），则攻击者可以通过精心构造的请求攻击系统，例如上传恶意脚本文件后远程执行。</w:t>
      </w:r>
    </w:p>
    <w:p w14:paraId="5317FCE3">
      <w:pPr>
        <w:rPr>
          <w:rFonts w:hint="eastAsia" w:ascii="华文楷体" w:hAnsi="华文楷体" w:eastAsia="华文楷体" w:cs="华文楷体"/>
          <w:lang w:eastAsia="zh-CN"/>
        </w:rPr>
      </w:pPr>
      <w:r>
        <w:rPr>
          <w:rFonts w:hint="eastAsia" w:ascii="华文楷体" w:hAnsi="华文楷体" w:eastAsia="华文楷体" w:cs="华文楷体"/>
          <w:lang w:eastAsia="zh-CN"/>
        </w:rPr>
        <w:t>缓解措施包括：</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1. 使用 Snyk、OWASP Dependency-Check 等工具定期扫描项目依赖库安全性；</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2. 引入统一的依赖管理策略，避免使用非官方源；</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3. 将关键功能模块封装在受限环境中运行（如设置运行权限、使用沙箱容器）；</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4. 建立自动化CI流程对依赖版本进行持续监控与审计。</w:t>
      </w:r>
    </w:p>
    <w:p w14:paraId="4C2E10F9">
      <w:pPr>
        <w:rPr>
          <w:rFonts w:hint="eastAsia" w:ascii="华文楷体" w:hAnsi="华文楷体" w:eastAsia="华文楷体" w:cs="华文楷体"/>
          <w:b/>
          <w:bCs/>
          <w:color w:val="558ED5" w:themeColor="text2" w:themeTint="99"/>
          <w:sz w:val="28"/>
          <w:szCs w:val="28"/>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8"/>
          <w:szCs w:val="28"/>
          <w:lang w:val="en-US" w:eastAsia="zh-CN" w:bidi="ar-SA"/>
          <w14:textFill>
            <w14:solidFill>
              <w14:schemeClr w14:val="tx2">
                <w14:lumMod w14:val="60000"/>
                <w14:lumOff w14:val="40000"/>
              </w14:schemeClr>
            </w14:solidFill>
          </w14:textFill>
        </w:rPr>
        <w:t>二、信息正确性方面</w:t>
      </w:r>
    </w:p>
    <w:p w14:paraId="1E4E0517">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信息正确性关系到人才招募系统的业务流程能否正常运行。例如简历格式错误可能导致系统解析失败，职位状态更新错误可能影响招聘决策，因此必须保障数据采集、处理、存储等全过程中的一致性与有效性。</w:t>
      </w:r>
    </w:p>
    <w:p w14:paraId="3225F4A9">
      <w:pPr>
        <w:pStyle w:val="5"/>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t>（一）数据验证不严格风险</w:t>
      </w:r>
    </w:p>
    <w:p w14:paraId="7527BECC">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如果用户在注册、填写简历、发布职位等过程中填写的字段未被系统有效验证，将可能导致不符合业务规则或格式错误的数据写入数据库，影响后续数据处理流程。</w:t>
      </w:r>
    </w:p>
    <w:p w14:paraId="10CF9C49">
      <w:pPr>
        <w:rPr>
          <w:rFonts w:hint="eastAsia" w:ascii="华文楷体" w:hAnsi="华文楷体" w:eastAsia="华文楷体" w:cs="华文楷体"/>
          <w:lang w:eastAsia="zh-CN"/>
        </w:rPr>
      </w:pPr>
      <w:r>
        <w:rPr>
          <w:rFonts w:hint="eastAsia" w:ascii="华文楷体" w:hAnsi="华文楷体" w:eastAsia="华文楷体" w:cs="华文楷体"/>
          <w:lang w:eastAsia="zh-CN"/>
        </w:rPr>
        <w:t>缓解措施包括：</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1. 前端使用正则表达式进行基础格式校验（如邮箱、手机号、日期等）；</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2. 后端基于 JSR-303 实现的 Hibernate Validator 进行数据合法性约束；</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3. 引入数据质量检测机制，定期清洗或打标识别异常数据；</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4. 异常数据引导用户重新提交或反馈具体错误信息。</w:t>
      </w:r>
    </w:p>
    <w:p w14:paraId="07AB5FE2">
      <w:pPr>
        <w:pStyle w:val="5"/>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t>（二）数据库事务处理不当风险</w:t>
      </w:r>
    </w:p>
    <w:p w14:paraId="548A1FE4">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在如“应聘者状态变更+岗位招聘人数减少”这种组合操作中，若事务配置不当（如未设置 rollback 或传播机制不一致），则可能造成数据不一致或部分更新成功。</w:t>
      </w:r>
    </w:p>
    <w:p w14:paraId="51F64FE9">
      <w:pPr>
        <w:rPr>
          <w:rFonts w:hint="eastAsia" w:ascii="华文楷体" w:hAnsi="华文楷体" w:eastAsia="华文楷体" w:cs="华文楷体"/>
          <w:lang w:eastAsia="zh-CN"/>
        </w:rPr>
      </w:pPr>
      <w:r>
        <w:rPr>
          <w:rFonts w:hint="eastAsia" w:ascii="华文楷体" w:hAnsi="华文楷体" w:eastAsia="华文楷体" w:cs="华文楷体"/>
          <w:lang w:eastAsia="zh-CN"/>
        </w:rPr>
        <w:t>缓解措施包括：</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1. 使用 Spring 的注解标注服务方法，并配置正确的传播行为；</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2. 在出现异常时显式回滚事务；</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3. 业务关键操作可使用操作日志记录 + 失败补偿机制；</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4. 分布式环境中使用 Seata 等分布式事务协调器。</w:t>
      </w:r>
    </w:p>
    <w:p w14:paraId="71646E90">
      <w:pPr>
        <w:pStyle w:val="5"/>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t>（三）缓存数据一致性风险</w:t>
      </w:r>
    </w:p>
    <w:p w14:paraId="34F2911C">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系统为提升性能常用缓存（如 Redis）保存职位信息、简历数据等，若更新数据库时未同步更新缓存，用户将读取到过期数据。</w:t>
      </w:r>
    </w:p>
    <w:p w14:paraId="48750A8D">
      <w:pPr>
        <w:rPr>
          <w:rFonts w:hint="eastAsia" w:ascii="华文楷体" w:hAnsi="华文楷体" w:eastAsia="华文楷体" w:cs="华文楷体"/>
          <w:lang w:eastAsia="zh-CN"/>
        </w:rPr>
      </w:pPr>
      <w:r>
        <w:rPr>
          <w:rFonts w:hint="eastAsia" w:ascii="华文楷体" w:hAnsi="华文楷体" w:eastAsia="华文楷体" w:cs="华文楷体"/>
          <w:lang w:eastAsia="zh-CN"/>
        </w:rPr>
        <w:t>缓解措施包括：</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1. 使用缓存更新策略（写穿、写回、异步同步）；</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2. 借助 MQ 实现异步通知缓存更新（如 RabbitMQ + Redis）；</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3. 对缓存设置合理 TTL，定期清理与回源；</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4. 设置版本号机制或主动回源校验机制。</w:t>
      </w:r>
    </w:p>
    <w:p w14:paraId="4D3A08C3">
      <w:pPr>
        <w:rPr>
          <w:rFonts w:hint="eastAsia" w:ascii="华文楷体" w:hAnsi="华文楷体" w:eastAsia="华文楷体" w:cs="华文楷体"/>
          <w:b/>
          <w:bCs/>
          <w:color w:val="558ED5" w:themeColor="text2" w:themeTint="99"/>
          <w:sz w:val="28"/>
          <w:szCs w:val="28"/>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8"/>
          <w:szCs w:val="28"/>
          <w:lang w:val="en-US" w:eastAsia="zh-CN" w:bidi="ar-SA"/>
          <w14:textFill>
            <w14:solidFill>
              <w14:schemeClr w14:val="tx2">
                <w14:lumMod w14:val="60000"/>
                <w14:lumOff w14:val="40000"/>
              </w14:schemeClr>
            </w14:solidFill>
          </w14:textFill>
        </w:rPr>
        <w:t>三、系统稳定性方面</w:t>
      </w:r>
    </w:p>
    <w:p w14:paraId="466F0BEA">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稳</w:t>
      </w:r>
      <w:r>
        <w:rPr>
          <w:rFonts w:hint="eastAsia" w:ascii="华文楷体" w:hAnsi="华文楷体" w:eastAsia="华文楷体" w:cs="华文楷体"/>
          <w:lang w:eastAsia="zh-CN"/>
        </w:rPr>
        <w:t>定性直接影响用户体验及系统可用性。特别是在招聘高峰期，若系统未做高并发优化，容易出现响应缓慢甚至系统崩溃等问题。</w:t>
      </w:r>
    </w:p>
    <w:p w14:paraId="2D28D924">
      <w:pPr>
        <w:pStyle w:val="5"/>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t>（一）服务器资源耗尽风险</w:t>
      </w:r>
    </w:p>
    <w:p w14:paraId="131EF859">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当大量用户同时发起搜索职位、上传简历等操作时，若系统后端未设置合理线程池或资源限制机制，会导致内存溢出、数据库连接耗尽等问题。</w:t>
      </w:r>
    </w:p>
    <w:p w14:paraId="262A1FA3">
      <w:pPr>
        <w:rPr>
          <w:rFonts w:hint="eastAsia" w:ascii="华文楷体" w:hAnsi="华文楷体" w:eastAsia="华文楷体" w:cs="华文楷体"/>
          <w:lang w:eastAsia="zh-CN"/>
        </w:rPr>
      </w:pPr>
      <w:r>
        <w:rPr>
          <w:rFonts w:hint="eastAsia" w:ascii="华文楷体" w:hAnsi="华文楷体" w:eastAsia="华文楷体" w:cs="华文楷体"/>
          <w:lang w:eastAsia="zh-CN"/>
        </w:rPr>
        <w:t>缓解措施包括：</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1. 引入 Nginx、HAProxy 等实现负载均衡；</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2. 使用限流框架如 Sentinel、Guava RateLimiter 控制接口并发访问；</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3. 后端接口采用异步处理 + 消息队列削峰填谷；</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4. 在云平台上配置自动扩缩容。</w:t>
      </w:r>
    </w:p>
    <w:p w14:paraId="390C779F">
      <w:pPr>
        <w:pStyle w:val="5"/>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t>（二）并发访问控制不当风险</w:t>
      </w:r>
    </w:p>
    <w:p w14:paraId="2E55EC93">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多个用户同时申请同一职位时若更新操作未加锁，容易出现数据冲突（如申请数异常、超出岗位上限）。</w:t>
      </w:r>
    </w:p>
    <w:p w14:paraId="316186C4">
      <w:pPr>
        <w:rPr>
          <w:rFonts w:hint="eastAsia" w:ascii="华文楷体" w:hAnsi="华文楷体" w:eastAsia="华文楷体" w:cs="华文楷体"/>
          <w:lang w:eastAsia="zh-CN"/>
        </w:rPr>
      </w:pPr>
      <w:r>
        <w:rPr>
          <w:rFonts w:hint="eastAsia" w:ascii="华文楷体" w:hAnsi="华文楷体" w:eastAsia="华文楷体" w:cs="华文楷体"/>
          <w:lang w:eastAsia="zh-CN"/>
        </w:rPr>
        <w:t>缓解措施包括：</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1. 数据层使用悲观锁（如 SELECT ... FOR UPDATE）；</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2. 使用乐观锁（版本号方式）保证原子更新；</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3. Redis 分布式锁控制全局并发；</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4. 设置队列处理高并发写操作。</w:t>
      </w:r>
    </w:p>
    <w:p w14:paraId="057BCBFF">
      <w:pPr>
        <w:pStyle w:val="5"/>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4"/>
          <w:szCs w:val="24"/>
          <w:lang w:val="en-US" w:eastAsia="zh-CN" w:bidi="ar-SA"/>
          <w14:textFill>
            <w14:solidFill>
              <w14:schemeClr w14:val="tx2">
                <w14:lumMod w14:val="60000"/>
                <w14:lumOff w14:val="40000"/>
              </w14:schemeClr>
            </w14:solidFill>
          </w14:textFill>
        </w:rPr>
        <w:t>（三）系统扩展困难风险</w:t>
      </w:r>
    </w:p>
    <w:p w14:paraId="794DB15A">
      <w:pPr>
        <w:ind w:firstLine="440" w:firstLineChars="200"/>
        <w:rPr>
          <w:rFonts w:hint="eastAsia" w:ascii="华文楷体" w:hAnsi="华文楷体" w:eastAsia="华文楷体" w:cs="华文楷体"/>
          <w:lang w:eastAsia="zh-CN"/>
        </w:rPr>
      </w:pPr>
      <w:r>
        <w:rPr>
          <w:rFonts w:hint="eastAsia" w:ascii="华文楷体" w:hAnsi="华文楷体" w:eastAsia="华文楷体" w:cs="华文楷体"/>
          <w:lang w:eastAsia="zh-CN"/>
        </w:rPr>
        <w:t>若系统设计初期未充分考虑模块解耦与服务拆分，后续新增功能会涉及多个模块改动，增加开发难度。</w:t>
      </w:r>
    </w:p>
    <w:p w14:paraId="3499C0FB">
      <w:pPr>
        <w:rPr>
          <w:rFonts w:hint="eastAsia" w:ascii="华文楷体" w:hAnsi="华文楷体" w:eastAsia="华文楷体" w:cs="华文楷体"/>
          <w:lang w:eastAsia="zh-CN"/>
        </w:rPr>
      </w:pPr>
      <w:r>
        <w:rPr>
          <w:rFonts w:hint="eastAsia" w:ascii="华文楷体" w:hAnsi="华文楷体" w:eastAsia="华文楷体" w:cs="华文楷体"/>
          <w:lang w:eastAsia="zh-CN"/>
        </w:rPr>
        <w:t>缓解措施包括：</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1. 按照领域驱动设计（DDD）分层建模，降低模块耦合；</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2. 使用微服务架构实现业务服务化；</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3. 使用 API 网关统一接口管理与权限控制；</w:t>
      </w:r>
      <w:r>
        <w:rPr>
          <w:rFonts w:hint="eastAsia" w:ascii="华文楷体" w:hAnsi="华文楷体" w:eastAsia="华文楷体" w:cs="华文楷体"/>
          <w:lang w:eastAsia="zh-CN"/>
        </w:rPr>
        <w:br w:type="textWrapping"/>
      </w:r>
      <w:r>
        <w:rPr>
          <w:rFonts w:hint="eastAsia" w:ascii="华文楷体" w:hAnsi="华文楷体" w:eastAsia="华文楷体" w:cs="华文楷体"/>
          <w:lang w:eastAsia="zh-CN"/>
        </w:rPr>
        <w:t>4. 采用容器化部署，实现灵活扩展与回滚。</w:t>
      </w:r>
    </w:p>
    <w:p w14:paraId="098D3D9F">
      <w:pPr>
        <w:pStyle w:val="4"/>
        <w:numPr>
          <w:ilvl w:val="0"/>
          <w:numId w:val="7"/>
        </w:numPr>
        <w:rPr>
          <w:rFonts w:hint="eastAsia" w:ascii="华文楷体" w:hAnsi="华文楷体" w:eastAsia="华文楷体" w:cs="华文楷体"/>
          <w:b/>
          <w:bCs/>
          <w:color w:val="558ED5" w:themeColor="text2" w:themeTint="99"/>
          <w:sz w:val="28"/>
          <w:szCs w:val="28"/>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8"/>
          <w:szCs w:val="28"/>
          <w:lang w:val="en-US" w:eastAsia="zh-CN" w:bidi="ar-SA"/>
          <w14:textFill>
            <w14:solidFill>
              <w14:schemeClr w14:val="tx2">
                <w14:lumMod w14:val="60000"/>
                <w14:lumOff w14:val="40000"/>
              </w14:schemeClr>
            </w14:solidFill>
          </w14:textFill>
        </w:rPr>
        <w:t>风险汇总表</w:t>
      </w:r>
    </w:p>
    <w:p w14:paraId="511B54C3">
      <w:pPr>
        <w:numPr>
          <w:numId w:val="0"/>
        </w:numPr>
        <w:rPr>
          <w:rFonts w:hint="eastAsia"/>
          <w:lang w:val="en-US" w:eastAsia="zh-CN"/>
        </w:rPr>
      </w:pPr>
      <w:bookmarkStart w:id="0" w:name="_GoBack"/>
      <w:bookmarkEnd w:id="0"/>
    </w:p>
    <w:tbl>
      <w:tblPr>
        <w:tblStyle w:val="35"/>
        <w:tblW w:w="9247"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8"/>
        <w:gridCol w:w="1728"/>
        <w:gridCol w:w="1728"/>
        <w:gridCol w:w="1728"/>
        <w:gridCol w:w="2335"/>
      </w:tblGrid>
      <w:tr w14:paraId="04925594">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8" w:type="dxa"/>
            <w:tcBorders>
              <w:top w:val="single" w:color="4F81BD" w:themeColor="accent1" w:sz="8" w:space="0"/>
              <w:left w:val="nil"/>
              <w:bottom w:val="single" w:color="4F81BD" w:themeColor="accent1" w:sz="8" w:space="0"/>
              <w:right w:val="nil"/>
              <w:insideH w:val="single" w:sz="8" w:space="0"/>
              <w:insideV w:val="nil"/>
            </w:tcBorders>
          </w:tcPr>
          <w:p w14:paraId="0A81A779">
            <w:pPr>
              <w:spacing w:before="0"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风险点</w:t>
            </w:r>
          </w:p>
        </w:tc>
        <w:tc>
          <w:tcPr>
            <w:tcW w:w="1728" w:type="dxa"/>
            <w:tcBorders>
              <w:top w:val="single" w:color="4F81BD" w:themeColor="accent1" w:sz="8" w:space="0"/>
              <w:bottom w:val="single" w:color="4F81BD" w:themeColor="accent1" w:sz="8" w:space="0"/>
              <w:right w:val="nil"/>
              <w:insideH w:val="single" w:sz="8" w:space="0"/>
              <w:insideV w:val="nil"/>
            </w:tcBorders>
          </w:tcPr>
          <w:p w14:paraId="2B0294F7">
            <w:pPr>
              <w:spacing w:before="0"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风险类型</w:t>
            </w:r>
          </w:p>
        </w:tc>
        <w:tc>
          <w:tcPr>
            <w:tcW w:w="1728" w:type="dxa"/>
            <w:tcBorders>
              <w:top w:val="single" w:color="4F81BD" w:themeColor="accent1" w:sz="8" w:space="0"/>
              <w:bottom w:val="single" w:color="4F81BD" w:themeColor="accent1" w:sz="8" w:space="0"/>
              <w:right w:val="nil"/>
              <w:insideH w:val="single" w:sz="8" w:space="0"/>
              <w:insideV w:val="nil"/>
            </w:tcBorders>
          </w:tcPr>
          <w:p w14:paraId="1D199090">
            <w:pPr>
              <w:spacing w:before="0"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影响等级</w:t>
            </w:r>
          </w:p>
        </w:tc>
        <w:tc>
          <w:tcPr>
            <w:tcW w:w="1728" w:type="dxa"/>
            <w:tcBorders>
              <w:top w:val="single" w:color="4F81BD" w:themeColor="accent1" w:sz="8" w:space="0"/>
              <w:bottom w:val="single" w:color="4F81BD" w:themeColor="accent1" w:sz="8" w:space="0"/>
              <w:right w:val="nil"/>
              <w:insideH w:val="single" w:sz="8" w:space="0"/>
              <w:insideV w:val="nil"/>
            </w:tcBorders>
          </w:tcPr>
          <w:p w14:paraId="78CBAD11">
            <w:pPr>
              <w:spacing w:before="0"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风险暴露</w:t>
            </w:r>
          </w:p>
        </w:tc>
        <w:tc>
          <w:tcPr>
            <w:tcW w:w="2335" w:type="dxa"/>
            <w:tcBorders>
              <w:top w:val="single" w:color="4F81BD" w:themeColor="accent1" w:sz="8" w:space="0"/>
              <w:bottom w:val="single" w:color="4F81BD" w:themeColor="accent1" w:sz="8" w:space="0"/>
              <w:right w:val="nil"/>
              <w:insideH w:val="single" w:sz="8" w:space="0"/>
              <w:insideV w:val="nil"/>
            </w:tcBorders>
          </w:tcPr>
          <w:p w14:paraId="38BB4D54">
            <w:pPr>
              <w:spacing w:before="0"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缓解方法</w:t>
            </w:r>
          </w:p>
        </w:tc>
      </w:tr>
      <w:tr w14:paraId="69E6808F">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8" w:type="dxa"/>
            <w:tcBorders>
              <w:left w:val="nil"/>
              <w:right w:val="nil"/>
              <w:insideV w:val="nil"/>
            </w:tcBorders>
            <w:shd w:val="clear" w:color="auto" w:fill="D3DFEE" w:themeFill="accent1" w:themeFillTint="3F"/>
          </w:tcPr>
          <w:p w14:paraId="7CE9BBDE">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数据传输未加密</w:t>
            </w:r>
          </w:p>
        </w:tc>
        <w:tc>
          <w:tcPr>
            <w:tcW w:w="1728" w:type="dxa"/>
            <w:tcBorders>
              <w:right w:val="nil"/>
              <w:insideV w:val="nil"/>
            </w:tcBorders>
            <w:shd w:val="clear" w:color="auto" w:fill="D3DFEE" w:themeFill="accent1" w:themeFillTint="3F"/>
          </w:tcPr>
          <w:p w14:paraId="2DD94130">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安全</w:t>
            </w:r>
          </w:p>
        </w:tc>
        <w:tc>
          <w:tcPr>
            <w:tcW w:w="1728" w:type="dxa"/>
            <w:tcBorders>
              <w:right w:val="nil"/>
              <w:insideV w:val="nil"/>
            </w:tcBorders>
            <w:shd w:val="clear" w:color="auto" w:fill="D3DFEE" w:themeFill="accent1" w:themeFillTint="3F"/>
          </w:tcPr>
          <w:p w14:paraId="02A6ACED">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高</w:t>
            </w:r>
          </w:p>
        </w:tc>
        <w:tc>
          <w:tcPr>
            <w:tcW w:w="1728" w:type="dxa"/>
            <w:tcBorders>
              <w:right w:val="nil"/>
              <w:insideV w:val="nil"/>
            </w:tcBorders>
            <w:shd w:val="clear" w:color="auto" w:fill="D3DFEE" w:themeFill="accent1" w:themeFillTint="3F"/>
          </w:tcPr>
          <w:p w14:paraId="4F44B572">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敏感信息易被截获</w:t>
            </w:r>
          </w:p>
        </w:tc>
        <w:tc>
          <w:tcPr>
            <w:tcW w:w="2335" w:type="dxa"/>
            <w:tcBorders>
              <w:right w:val="nil"/>
              <w:insideV w:val="nil"/>
            </w:tcBorders>
            <w:shd w:val="clear" w:color="auto" w:fill="D3DFEE" w:themeFill="accent1" w:themeFillTint="3F"/>
          </w:tcPr>
          <w:p w14:paraId="19F1BCD9">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启用 HTTPS、加密字段</w:t>
            </w:r>
          </w:p>
        </w:tc>
      </w:tr>
      <w:tr w14:paraId="75D39C3C">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8" w:type="dxa"/>
          </w:tcPr>
          <w:p w14:paraId="4ADEE2D6">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依赖库漏洞</w:t>
            </w:r>
          </w:p>
        </w:tc>
        <w:tc>
          <w:tcPr>
            <w:tcW w:w="1728" w:type="dxa"/>
          </w:tcPr>
          <w:p w14:paraId="63B1135E">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安全</w:t>
            </w:r>
          </w:p>
        </w:tc>
        <w:tc>
          <w:tcPr>
            <w:tcW w:w="1728" w:type="dxa"/>
          </w:tcPr>
          <w:p w14:paraId="1B40DF02">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中</w:t>
            </w:r>
          </w:p>
        </w:tc>
        <w:tc>
          <w:tcPr>
            <w:tcW w:w="1728" w:type="dxa"/>
          </w:tcPr>
          <w:p w14:paraId="22B80BBF">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第三方漏洞影响系统</w:t>
            </w:r>
          </w:p>
        </w:tc>
        <w:tc>
          <w:tcPr>
            <w:tcW w:w="2335" w:type="dxa"/>
          </w:tcPr>
          <w:p w14:paraId="09A764D3">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漏洞扫描、来源受控</w:t>
            </w:r>
          </w:p>
        </w:tc>
      </w:tr>
      <w:tr w14:paraId="562CABD1">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8" w:type="dxa"/>
            <w:tcBorders>
              <w:left w:val="nil"/>
              <w:right w:val="nil"/>
              <w:insideV w:val="nil"/>
            </w:tcBorders>
            <w:shd w:val="clear" w:color="auto" w:fill="D3DFEE" w:themeFill="accent1" w:themeFillTint="3F"/>
          </w:tcPr>
          <w:p w14:paraId="521DA2BB">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表单验证不足</w:t>
            </w:r>
          </w:p>
        </w:tc>
        <w:tc>
          <w:tcPr>
            <w:tcW w:w="1728" w:type="dxa"/>
            <w:tcBorders>
              <w:right w:val="nil"/>
              <w:insideV w:val="nil"/>
            </w:tcBorders>
            <w:shd w:val="clear" w:color="auto" w:fill="D3DFEE" w:themeFill="accent1" w:themeFillTint="3F"/>
          </w:tcPr>
          <w:p w14:paraId="55F8C05E">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信息正确性</w:t>
            </w:r>
          </w:p>
        </w:tc>
        <w:tc>
          <w:tcPr>
            <w:tcW w:w="1728" w:type="dxa"/>
            <w:tcBorders>
              <w:right w:val="nil"/>
              <w:insideV w:val="nil"/>
            </w:tcBorders>
            <w:shd w:val="clear" w:color="auto" w:fill="D3DFEE" w:themeFill="accent1" w:themeFillTint="3F"/>
          </w:tcPr>
          <w:p w14:paraId="42F8A739">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中</w:t>
            </w:r>
          </w:p>
        </w:tc>
        <w:tc>
          <w:tcPr>
            <w:tcW w:w="1728" w:type="dxa"/>
            <w:tcBorders>
              <w:right w:val="nil"/>
              <w:insideV w:val="nil"/>
            </w:tcBorders>
            <w:shd w:val="clear" w:color="auto" w:fill="D3DFEE" w:themeFill="accent1" w:themeFillTint="3F"/>
          </w:tcPr>
          <w:p w14:paraId="5833FDB6">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错误数据进入系统</w:t>
            </w:r>
          </w:p>
        </w:tc>
        <w:tc>
          <w:tcPr>
            <w:tcW w:w="2335" w:type="dxa"/>
            <w:tcBorders>
              <w:right w:val="nil"/>
              <w:insideV w:val="nil"/>
            </w:tcBorders>
            <w:shd w:val="clear" w:color="auto" w:fill="D3DFEE" w:themeFill="accent1" w:themeFillTint="3F"/>
          </w:tcPr>
          <w:p w14:paraId="5D991E4F">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前后端校验</w:t>
            </w:r>
          </w:p>
        </w:tc>
      </w:tr>
      <w:tr w14:paraId="09350797">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8" w:type="dxa"/>
          </w:tcPr>
          <w:p w14:paraId="0AC85914">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事务控制不当</w:t>
            </w:r>
          </w:p>
        </w:tc>
        <w:tc>
          <w:tcPr>
            <w:tcW w:w="1728" w:type="dxa"/>
          </w:tcPr>
          <w:p w14:paraId="430E1A2D">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信息正确性</w:t>
            </w:r>
          </w:p>
        </w:tc>
        <w:tc>
          <w:tcPr>
            <w:tcW w:w="1728" w:type="dxa"/>
          </w:tcPr>
          <w:p w14:paraId="0F0EF5E2">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高</w:t>
            </w:r>
          </w:p>
        </w:tc>
        <w:tc>
          <w:tcPr>
            <w:tcW w:w="1728" w:type="dxa"/>
          </w:tcPr>
          <w:p w14:paraId="4BFBA828">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数据不一致</w:t>
            </w:r>
          </w:p>
        </w:tc>
        <w:tc>
          <w:tcPr>
            <w:tcW w:w="2335" w:type="dxa"/>
          </w:tcPr>
          <w:p w14:paraId="106EE432">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使用事务注解/分布式事务</w:t>
            </w:r>
          </w:p>
        </w:tc>
      </w:tr>
      <w:tr w14:paraId="44E55947">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8" w:type="dxa"/>
            <w:tcBorders>
              <w:left w:val="nil"/>
              <w:right w:val="nil"/>
              <w:insideV w:val="nil"/>
            </w:tcBorders>
            <w:shd w:val="clear" w:color="auto" w:fill="D3DFEE" w:themeFill="accent1" w:themeFillTint="3F"/>
          </w:tcPr>
          <w:p w14:paraId="5270F2E3">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缓存不同步</w:t>
            </w:r>
          </w:p>
        </w:tc>
        <w:tc>
          <w:tcPr>
            <w:tcW w:w="1728" w:type="dxa"/>
            <w:tcBorders>
              <w:right w:val="nil"/>
              <w:insideV w:val="nil"/>
            </w:tcBorders>
            <w:shd w:val="clear" w:color="auto" w:fill="D3DFEE" w:themeFill="accent1" w:themeFillTint="3F"/>
          </w:tcPr>
          <w:p w14:paraId="5222CFCC">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信息正确性</w:t>
            </w:r>
          </w:p>
        </w:tc>
        <w:tc>
          <w:tcPr>
            <w:tcW w:w="1728" w:type="dxa"/>
            <w:tcBorders>
              <w:right w:val="nil"/>
              <w:insideV w:val="nil"/>
            </w:tcBorders>
            <w:shd w:val="clear" w:color="auto" w:fill="D3DFEE" w:themeFill="accent1" w:themeFillTint="3F"/>
          </w:tcPr>
          <w:p w14:paraId="1C8A9D14">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中</w:t>
            </w:r>
          </w:p>
        </w:tc>
        <w:tc>
          <w:tcPr>
            <w:tcW w:w="1728" w:type="dxa"/>
            <w:tcBorders>
              <w:right w:val="nil"/>
              <w:insideV w:val="nil"/>
            </w:tcBorders>
            <w:shd w:val="clear" w:color="auto" w:fill="D3DFEE" w:themeFill="accent1" w:themeFillTint="3F"/>
          </w:tcPr>
          <w:p w14:paraId="0CB8C530">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数据更新延迟</w:t>
            </w:r>
          </w:p>
        </w:tc>
        <w:tc>
          <w:tcPr>
            <w:tcW w:w="2335" w:type="dxa"/>
            <w:tcBorders>
              <w:right w:val="nil"/>
              <w:insideV w:val="nil"/>
            </w:tcBorders>
            <w:shd w:val="clear" w:color="auto" w:fill="D3DFEE" w:themeFill="accent1" w:themeFillTint="3F"/>
          </w:tcPr>
          <w:p w14:paraId="27716967">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消息队列同步缓存</w:t>
            </w:r>
          </w:p>
        </w:tc>
      </w:tr>
      <w:tr w14:paraId="11684172">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8" w:type="dxa"/>
          </w:tcPr>
          <w:p w14:paraId="2D9ECFDC">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高并发资源耗尽</w:t>
            </w:r>
          </w:p>
        </w:tc>
        <w:tc>
          <w:tcPr>
            <w:tcW w:w="1728" w:type="dxa"/>
          </w:tcPr>
          <w:p w14:paraId="4099074F">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系统稳定性</w:t>
            </w:r>
          </w:p>
        </w:tc>
        <w:tc>
          <w:tcPr>
            <w:tcW w:w="1728" w:type="dxa"/>
          </w:tcPr>
          <w:p w14:paraId="49BA3A1D">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高</w:t>
            </w:r>
          </w:p>
        </w:tc>
        <w:tc>
          <w:tcPr>
            <w:tcW w:w="1728" w:type="dxa"/>
          </w:tcPr>
          <w:p w14:paraId="08545144">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系统响应慢或宕机</w:t>
            </w:r>
          </w:p>
        </w:tc>
        <w:tc>
          <w:tcPr>
            <w:tcW w:w="2335" w:type="dxa"/>
          </w:tcPr>
          <w:p w14:paraId="25BE524E">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限流、负载均衡</w:t>
            </w:r>
          </w:p>
        </w:tc>
      </w:tr>
      <w:tr w14:paraId="088809E6">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8" w:type="dxa"/>
            <w:tcBorders>
              <w:left w:val="nil"/>
              <w:right w:val="nil"/>
              <w:insideV w:val="nil"/>
            </w:tcBorders>
            <w:shd w:val="clear" w:color="auto" w:fill="D3DFEE" w:themeFill="accent1" w:themeFillTint="3F"/>
          </w:tcPr>
          <w:p w14:paraId="67A37459">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并发控制缺失</w:t>
            </w:r>
          </w:p>
        </w:tc>
        <w:tc>
          <w:tcPr>
            <w:tcW w:w="1728" w:type="dxa"/>
            <w:tcBorders>
              <w:right w:val="nil"/>
              <w:insideV w:val="nil"/>
            </w:tcBorders>
            <w:shd w:val="clear" w:color="auto" w:fill="D3DFEE" w:themeFill="accent1" w:themeFillTint="3F"/>
          </w:tcPr>
          <w:p w14:paraId="04B3748B">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系统稳定性</w:t>
            </w:r>
          </w:p>
        </w:tc>
        <w:tc>
          <w:tcPr>
            <w:tcW w:w="1728" w:type="dxa"/>
            <w:tcBorders>
              <w:right w:val="nil"/>
              <w:insideV w:val="nil"/>
            </w:tcBorders>
            <w:shd w:val="clear" w:color="auto" w:fill="D3DFEE" w:themeFill="accent1" w:themeFillTint="3F"/>
          </w:tcPr>
          <w:p w14:paraId="738AB5C9">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中</w:t>
            </w:r>
          </w:p>
        </w:tc>
        <w:tc>
          <w:tcPr>
            <w:tcW w:w="1728" w:type="dxa"/>
            <w:tcBorders>
              <w:right w:val="nil"/>
              <w:insideV w:val="nil"/>
            </w:tcBorders>
            <w:shd w:val="clear" w:color="auto" w:fill="D3DFEE" w:themeFill="accent1" w:themeFillTint="3F"/>
          </w:tcPr>
          <w:p w14:paraId="2B6CD030">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数据冲突</w:t>
            </w:r>
          </w:p>
        </w:tc>
        <w:tc>
          <w:tcPr>
            <w:tcW w:w="2335" w:type="dxa"/>
            <w:tcBorders>
              <w:right w:val="nil"/>
              <w:insideV w:val="nil"/>
            </w:tcBorders>
            <w:shd w:val="clear" w:color="auto" w:fill="D3DFEE" w:themeFill="accent1" w:themeFillTint="3F"/>
          </w:tcPr>
          <w:p w14:paraId="087B9822">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加锁、原子操作</w:t>
            </w:r>
          </w:p>
        </w:tc>
      </w:tr>
      <w:tr w14:paraId="62EC7475">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28" w:type="dxa"/>
          </w:tcPr>
          <w:p w14:paraId="65F08336">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系统扩展困难</w:t>
            </w:r>
          </w:p>
        </w:tc>
        <w:tc>
          <w:tcPr>
            <w:tcW w:w="1728" w:type="dxa"/>
          </w:tcPr>
          <w:p w14:paraId="56E69378">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系统稳定性</w:t>
            </w:r>
          </w:p>
        </w:tc>
        <w:tc>
          <w:tcPr>
            <w:tcW w:w="1728" w:type="dxa"/>
          </w:tcPr>
          <w:p w14:paraId="66B44F2A">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中</w:t>
            </w:r>
          </w:p>
        </w:tc>
        <w:tc>
          <w:tcPr>
            <w:tcW w:w="1728" w:type="dxa"/>
          </w:tcPr>
          <w:p w14:paraId="2E4DDFAA">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维护成本高</w:t>
            </w:r>
          </w:p>
        </w:tc>
        <w:tc>
          <w:tcPr>
            <w:tcW w:w="2335" w:type="dxa"/>
          </w:tcPr>
          <w:p w14:paraId="7C8A5BB0">
            <w:pPr>
              <w:spacing w:after="0" w:line="240" w:lineRule="auto"/>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t>模块化设计、微服务</w:t>
            </w:r>
          </w:p>
        </w:tc>
      </w:tr>
    </w:tbl>
    <w:p w14:paraId="243CA0B8">
      <w:pPr>
        <w:rPr>
          <w:rFonts w:hint="eastAsia" w:ascii="华文楷体" w:hAnsi="华文楷体" w:eastAsia="华文楷体" w:cs="华文楷体"/>
          <w:b/>
          <w:bCs/>
          <w:color w:val="558ED5" w:themeColor="text2" w:themeTint="99"/>
          <w:sz w:val="22"/>
          <w:szCs w:val="22"/>
          <w:lang w:val="en-US" w:eastAsia="zh-CN" w:bidi="ar-SA"/>
          <w14:textFill>
            <w14:solidFill>
              <w14:schemeClr w14:val="tx2">
                <w14:lumMod w14:val="60000"/>
                <w14:lumOff w14:val="40000"/>
              </w14:schemeClr>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70409020205020404"/>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6E4A6FCD"/>
    <w:multiLevelType w:val="singleLevel"/>
    <w:tmpl w:val="6E4A6FCD"/>
    <w:lvl w:ilvl="0" w:tentative="0">
      <w:start w:val="4"/>
      <w:numFmt w:val="chineseCounting"/>
      <w:suff w:val="nothing"/>
      <w:lvlText w:val="%1、"/>
      <w:lvlJc w:val="left"/>
      <w:rPr>
        <w:rFonts w:hint="eastAsia"/>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35139"/>
    <w:rsid w:val="0006063C"/>
    <w:rsid w:val="0015074B"/>
    <w:rsid w:val="0029639D"/>
    <w:rsid w:val="00326F90"/>
    <w:rsid w:val="004E5596"/>
    <w:rsid w:val="005B3E90"/>
    <w:rsid w:val="00701A63"/>
    <w:rsid w:val="00AA1D8D"/>
    <w:rsid w:val="00B47730"/>
    <w:rsid w:val="00CB0664"/>
    <w:rsid w:val="00CF7860"/>
    <w:rsid w:val="00DE2278"/>
    <w:rsid w:val="00E819D2"/>
    <w:rsid w:val="00FB35D0"/>
    <w:rsid w:val="00FB7C02"/>
    <w:rsid w:val="00FC693F"/>
    <w:rsid w:val="1C3A64E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uiPriority w:val="99"/>
  </w:style>
  <w:style w:type="character" w:customStyle="1" w:styleId="136">
    <w:name w:val="页脚 字符"/>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uiPriority w:val="99"/>
  </w:style>
  <w:style w:type="character" w:customStyle="1" w:styleId="145">
    <w:name w:val="正文文本 2 字符"/>
    <w:basedOn w:val="132"/>
    <w:link w:val="28"/>
    <w:uiPriority w:val="99"/>
  </w:style>
  <w:style w:type="character" w:customStyle="1" w:styleId="146">
    <w:name w:val="正文文本 3 字符"/>
    <w:basedOn w:val="132"/>
    <w:link w:val="17"/>
    <w:qFormat/>
    <w:uiPriority w:val="99"/>
    <w:rPr>
      <w:sz w:val="16"/>
      <w:szCs w:val="16"/>
    </w:rPr>
  </w:style>
  <w:style w:type="character" w:customStyle="1" w:styleId="147">
    <w:name w:val="宏文本 字符"/>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qFormat/>
    <w:uiPriority w:val="29"/>
    <w:rPr>
      <w:i/>
      <w:iCs/>
      <w:color w:val="000000" w:themeColor="text1"/>
      <w14:textFill>
        <w14:solidFill>
          <w14:schemeClr w14:val="tx1"/>
        </w14:solidFill>
      </w14:textFill>
    </w:rPr>
  </w:style>
  <w:style w:type="character" w:customStyle="1" w:styleId="150">
    <w:name w:val="标题 4 字符"/>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1984</Words>
  <Characters>2200</Characters>
  <Lines>17</Lines>
  <Paragraphs>4</Paragraphs>
  <TotalTime>11</TotalTime>
  <ScaleCrop>false</ScaleCrop>
  <LinksUpToDate>false</LinksUpToDate>
  <CharactersWithSpaces>2284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admin</cp:lastModifiedBy>
  <dcterms:modified xsi:type="dcterms:W3CDTF">2025-04-18T03:43:44Z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eyJoZGlkIjoiYjg1YTVhOTA2MTVlNGEwZjY3NTljMWJmMjNhOWU4NDcifQ==</vt:lpwstr>
  </property>
  <property fmtid="{D5CDD505-2E9C-101B-9397-08002B2CF9AE}" pid="3" name="KSOProductBuildVer">
    <vt:lpwstr>2052-12.1.0.20305</vt:lpwstr>
  </property>
  <property fmtid="{D5CDD505-2E9C-101B-9397-08002B2CF9AE}" pid="4" name="ICV">
    <vt:lpwstr>440CD4B1177D4B9A91CE816130BC936C_12</vt:lpwstr>
  </property>
</Properties>
</file>