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4CF9" w14:textId="77777777" w:rsidR="00F44D7B" w:rsidRPr="004269BA" w:rsidRDefault="00000000">
      <w:pPr>
        <w:pStyle w:val="1"/>
        <w:rPr>
          <w:rFonts w:ascii="黑体" w:eastAsia="黑体" w:hAnsi="黑体"/>
        </w:rPr>
      </w:pPr>
      <w:r w:rsidRPr="004269BA">
        <w:rPr>
          <w:rFonts w:ascii="黑体" w:eastAsia="黑体" w:hAnsi="黑体"/>
        </w:rPr>
        <w:t>实验九（2）：《Logic in Computer Science — Modelling and Reasoning about Systems》学习报告</w:t>
      </w:r>
    </w:p>
    <w:p w14:paraId="6C2FB6A2" w14:textId="77777777" w:rsidR="00F44D7B" w:rsidRPr="004269BA" w:rsidRDefault="00000000">
      <w:pPr>
        <w:pStyle w:val="21"/>
        <w:rPr>
          <w:rFonts w:ascii="黑体" w:eastAsia="黑体" w:hAnsi="黑体"/>
        </w:rPr>
      </w:pPr>
      <w:r w:rsidRPr="004269BA">
        <w:rPr>
          <w:rFonts w:ascii="黑体" w:eastAsia="黑体" w:hAnsi="黑体"/>
        </w:rPr>
        <w:t>摘要</w:t>
      </w:r>
    </w:p>
    <w:p w14:paraId="7D7E5E4F" w14:textId="77777777" w:rsidR="00F44D7B" w:rsidRPr="004269BA" w:rsidRDefault="00000000">
      <w:pPr>
        <w:rPr>
          <w:rFonts w:ascii="黑体" w:eastAsia="黑体" w:hAnsi="黑体"/>
        </w:rPr>
      </w:pPr>
      <w:r w:rsidRPr="004269BA">
        <w:rPr>
          <w:rFonts w:ascii="黑体" w:eastAsia="黑体" w:hAnsi="黑体"/>
        </w:rPr>
        <w:t>本报告概述了 Huth 与 Ryan 《Logic in Computer Science》一书中的主要逻辑体系，重点探讨命题/谓词逻辑、时序逻辑、模态逻辑与 Hoare 逻辑在形式化建模与程序验证中的应用，并结合访问控制与模型检测等案例展示逻辑工具在计算机学科的实践价值。</w:t>
      </w:r>
    </w:p>
    <w:p w14:paraId="73F4E778" w14:textId="77777777" w:rsidR="00F44D7B" w:rsidRPr="004269BA" w:rsidRDefault="00000000">
      <w:pPr>
        <w:pStyle w:val="21"/>
        <w:rPr>
          <w:rFonts w:ascii="黑体" w:eastAsia="黑体" w:hAnsi="黑体"/>
          <w:lang w:eastAsia="zh-CN"/>
        </w:rPr>
      </w:pPr>
      <w:r w:rsidRPr="004269BA">
        <w:rPr>
          <w:rFonts w:ascii="黑体" w:eastAsia="黑体" w:hAnsi="黑体"/>
          <w:lang w:eastAsia="zh-CN"/>
        </w:rPr>
        <w:t>1. 逻辑在计算机科学中的角色</w:t>
      </w:r>
    </w:p>
    <w:p w14:paraId="1560E0A8" w14:textId="77777777" w:rsidR="00F44D7B" w:rsidRPr="004269BA" w:rsidRDefault="00000000">
      <w:pPr>
        <w:rPr>
          <w:rFonts w:ascii="黑体" w:eastAsia="黑体" w:hAnsi="黑体"/>
          <w:lang w:eastAsia="zh-CN"/>
        </w:rPr>
      </w:pPr>
      <w:r w:rsidRPr="004269BA">
        <w:rPr>
          <w:rFonts w:ascii="黑体" w:eastAsia="黑体" w:hAnsi="黑体"/>
          <w:lang w:eastAsia="zh-CN"/>
        </w:rPr>
        <w:t>逻辑为计算机科学提供精确定义规范、推理和验证的软件与硬件系统的方法论。形式逻辑语言能够表达不确定行为、并发进程及安全策略，并通过自动化工具（如 SAT/SMT 求解器、模型检查器）支持可计算的验证。</w:t>
      </w:r>
    </w:p>
    <w:p w14:paraId="40973C76" w14:textId="77777777" w:rsidR="00F44D7B" w:rsidRPr="004269BA" w:rsidRDefault="00000000">
      <w:pPr>
        <w:pStyle w:val="21"/>
        <w:rPr>
          <w:rFonts w:ascii="黑体" w:eastAsia="黑体" w:hAnsi="黑体"/>
          <w:lang w:eastAsia="zh-CN"/>
        </w:rPr>
      </w:pPr>
      <w:r w:rsidRPr="004269BA">
        <w:rPr>
          <w:rFonts w:ascii="黑体" w:eastAsia="黑体" w:hAnsi="黑体"/>
          <w:lang w:eastAsia="zh-CN"/>
        </w:rPr>
        <w:t>2. 基础：命题逻辑与一阶逻辑</w:t>
      </w:r>
    </w:p>
    <w:p w14:paraId="04F753E3" w14:textId="77777777" w:rsidR="00F44D7B" w:rsidRPr="004269BA" w:rsidRDefault="00000000">
      <w:pPr>
        <w:rPr>
          <w:rFonts w:ascii="黑体" w:eastAsia="黑体" w:hAnsi="黑体"/>
          <w:lang w:eastAsia="zh-CN"/>
        </w:rPr>
      </w:pPr>
      <w:r w:rsidRPr="004269BA">
        <w:rPr>
          <w:rFonts w:ascii="黑体" w:eastAsia="黑体" w:hAnsi="黑体"/>
          <w:lang w:eastAsia="zh-CN"/>
        </w:rPr>
        <w:t>命题逻辑使用布尔联结词对基本命题进行组合，适合描述系统状态的真假条件；一阶逻辑引入量词与谓词，可表达对象及其属性之间的关系，为后续逻辑扩展奠定了语法与语义基础。</w:t>
      </w:r>
    </w:p>
    <w:p w14:paraId="1F59D6DA" w14:textId="77777777" w:rsidR="00F44D7B" w:rsidRPr="004269BA" w:rsidRDefault="00000000">
      <w:pPr>
        <w:pStyle w:val="21"/>
        <w:rPr>
          <w:rFonts w:ascii="黑体" w:eastAsia="黑体" w:hAnsi="黑体"/>
        </w:rPr>
      </w:pPr>
      <w:r w:rsidRPr="004269BA">
        <w:rPr>
          <w:rFonts w:ascii="黑体" w:eastAsia="黑体" w:hAnsi="黑体"/>
        </w:rPr>
        <w:t>3. 模态与时序逻辑</w:t>
      </w:r>
    </w:p>
    <w:p w14:paraId="54942330" w14:textId="77777777" w:rsidR="00F44D7B" w:rsidRPr="004269BA" w:rsidRDefault="00000000">
      <w:pPr>
        <w:pStyle w:val="a0"/>
        <w:rPr>
          <w:rFonts w:ascii="黑体" w:eastAsia="黑体" w:hAnsi="黑体"/>
          <w:lang w:eastAsia="zh-CN"/>
        </w:rPr>
      </w:pPr>
      <w:r w:rsidRPr="004269BA">
        <w:rPr>
          <w:rFonts w:ascii="黑体" w:eastAsia="黑体" w:hAnsi="黑体"/>
          <w:lang w:eastAsia="zh-CN"/>
        </w:rPr>
        <w:t>模态逻辑：通过 □（必然）与 ◇（可能）运算符刻画不同可能世界，广泛用于访问控制、安全协议分析。</w:t>
      </w:r>
    </w:p>
    <w:p w14:paraId="5216D8E7" w14:textId="77777777" w:rsidR="00F44D7B" w:rsidRPr="004269BA" w:rsidRDefault="00000000">
      <w:pPr>
        <w:pStyle w:val="a0"/>
        <w:rPr>
          <w:rFonts w:ascii="黑体" w:eastAsia="黑体" w:hAnsi="黑体"/>
          <w:lang w:eastAsia="zh-CN"/>
        </w:rPr>
      </w:pPr>
      <w:r w:rsidRPr="004269BA">
        <w:rPr>
          <w:rFonts w:ascii="黑体" w:eastAsia="黑体" w:hAnsi="黑体"/>
          <w:lang w:eastAsia="zh-CN"/>
        </w:rPr>
        <w:t>线性时序逻辑 (LTL)：基于时间线对路径进行全局 (G)、最终 (F)、下一时刻 (X) 等运算符的组合，用于规格说明与模型检测。</w:t>
      </w:r>
    </w:p>
    <w:p w14:paraId="518C0868" w14:textId="77777777" w:rsidR="00F44D7B" w:rsidRPr="004269BA" w:rsidRDefault="00000000">
      <w:pPr>
        <w:pStyle w:val="a0"/>
        <w:rPr>
          <w:rFonts w:ascii="黑体" w:eastAsia="黑体" w:hAnsi="黑体"/>
          <w:lang w:eastAsia="zh-CN"/>
        </w:rPr>
      </w:pPr>
      <w:r w:rsidRPr="004269BA">
        <w:rPr>
          <w:rFonts w:ascii="黑体" w:eastAsia="黑体" w:hAnsi="黑体"/>
          <w:lang w:eastAsia="zh-CN"/>
        </w:rPr>
        <w:t>CTL 及 CTL*：在 Kripke 结构上区分路径量词 A/E 与时序运算符，使表达能力覆盖分支未来情况。</w:t>
      </w:r>
    </w:p>
    <w:p w14:paraId="042B6C9B" w14:textId="77777777" w:rsidR="00F44D7B" w:rsidRPr="004269BA" w:rsidRDefault="00000000">
      <w:pPr>
        <w:pStyle w:val="a0"/>
        <w:rPr>
          <w:rFonts w:ascii="黑体" w:eastAsia="黑体" w:hAnsi="黑体"/>
        </w:rPr>
      </w:pPr>
      <w:r w:rsidRPr="004269BA">
        <w:rPr>
          <w:rFonts w:ascii="黑体" w:eastAsia="黑体" w:hAnsi="黑体"/>
        </w:rPr>
        <w:t>TLA (Temporal Logic of Actions)：适合并发系统与分布式算法的规范。</w:t>
      </w:r>
    </w:p>
    <w:p w14:paraId="10F21C3A" w14:textId="77777777" w:rsidR="00F44D7B" w:rsidRPr="004269BA" w:rsidRDefault="00000000">
      <w:pPr>
        <w:pStyle w:val="21"/>
        <w:rPr>
          <w:rFonts w:ascii="黑体" w:eastAsia="黑体" w:hAnsi="黑体"/>
          <w:lang w:eastAsia="zh-CN"/>
        </w:rPr>
      </w:pPr>
      <w:r w:rsidRPr="004269BA">
        <w:rPr>
          <w:rFonts w:ascii="黑体" w:eastAsia="黑体" w:hAnsi="黑体"/>
          <w:lang w:eastAsia="zh-CN"/>
        </w:rPr>
        <w:t>4. Hoare 逻辑与程序验证</w:t>
      </w:r>
    </w:p>
    <w:p w14:paraId="33318D1A" w14:textId="77777777" w:rsidR="00F44D7B" w:rsidRPr="004269BA" w:rsidRDefault="00000000">
      <w:pPr>
        <w:rPr>
          <w:rFonts w:ascii="黑体" w:eastAsia="黑体" w:hAnsi="黑体"/>
          <w:lang w:eastAsia="zh-CN"/>
        </w:rPr>
      </w:pPr>
      <w:r w:rsidRPr="004269BA">
        <w:rPr>
          <w:rFonts w:ascii="黑体" w:eastAsia="黑体" w:hAnsi="黑体"/>
          <w:lang w:eastAsia="zh-CN"/>
        </w:rPr>
        <w:t>Hoare 逻辑以 {P} S {Q} 三元组形式建立程序语句 S 与前/后置条件 P、Q 之间的语义关系，通过推理规则与循环不变式证明程序部分或全部正确性。结合工具化框架（如 Coq, VCG），可自动生成待验证条件以提升可扩展性。</w:t>
      </w:r>
    </w:p>
    <w:p w14:paraId="0EFEE27C" w14:textId="77777777" w:rsidR="00F44D7B" w:rsidRPr="004269BA" w:rsidRDefault="00000000">
      <w:pPr>
        <w:pStyle w:val="21"/>
        <w:rPr>
          <w:rFonts w:ascii="黑体" w:eastAsia="黑体" w:hAnsi="黑体"/>
        </w:rPr>
      </w:pPr>
      <w:r w:rsidRPr="004269BA">
        <w:rPr>
          <w:rFonts w:ascii="黑体" w:eastAsia="黑体" w:hAnsi="黑体"/>
        </w:rPr>
        <w:t>5. 其他逻辑体系</w:t>
      </w:r>
    </w:p>
    <w:p w14:paraId="63435FD3" w14:textId="77777777" w:rsidR="00F44D7B" w:rsidRPr="004269BA" w:rsidRDefault="00000000">
      <w:pPr>
        <w:pStyle w:val="a0"/>
        <w:rPr>
          <w:rFonts w:ascii="黑体" w:eastAsia="黑体" w:hAnsi="黑体"/>
          <w:lang w:eastAsia="zh-CN"/>
        </w:rPr>
      </w:pPr>
      <w:r w:rsidRPr="004269BA">
        <w:rPr>
          <w:rFonts w:ascii="黑体" w:eastAsia="黑体" w:hAnsi="黑体"/>
          <w:lang w:eastAsia="zh-CN"/>
        </w:rPr>
        <w:t>PDL（命题动态逻辑）：将程序视为正则表达式，表达执行路径及其结果属性。</w:t>
      </w:r>
    </w:p>
    <w:p w14:paraId="2AC00502" w14:textId="77777777" w:rsidR="00F44D7B" w:rsidRPr="004269BA" w:rsidRDefault="00000000">
      <w:pPr>
        <w:pStyle w:val="a0"/>
        <w:rPr>
          <w:rFonts w:ascii="黑体" w:eastAsia="黑体" w:hAnsi="黑体"/>
          <w:lang w:eastAsia="zh-CN"/>
        </w:rPr>
      </w:pPr>
      <w:r w:rsidRPr="004269BA">
        <w:rPr>
          <w:rFonts w:ascii="黑体" w:eastAsia="黑体" w:hAnsi="黑体"/>
        </w:rPr>
        <w:t>μ</w:t>
      </w:r>
      <w:r w:rsidRPr="004269BA">
        <w:rPr>
          <w:rFonts w:ascii="Cambria Math" w:eastAsia="黑体" w:hAnsi="Cambria Math" w:cs="Cambria Math"/>
          <w:lang w:eastAsia="zh-CN"/>
        </w:rPr>
        <w:t>‑</w:t>
      </w:r>
      <w:r w:rsidRPr="004269BA">
        <w:rPr>
          <w:rFonts w:ascii="黑体" w:eastAsia="黑体" w:hAnsi="黑体"/>
          <w:lang w:eastAsia="zh-CN"/>
        </w:rPr>
        <w:t>演算：利用最小/最大不动点算子统一刻画递归性质，具有很高的表达能力。</w:t>
      </w:r>
    </w:p>
    <w:p w14:paraId="238CF206" w14:textId="77777777" w:rsidR="00F44D7B" w:rsidRPr="004269BA" w:rsidRDefault="00000000">
      <w:pPr>
        <w:pStyle w:val="a0"/>
        <w:rPr>
          <w:rFonts w:ascii="黑体" w:eastAsia="黑体" w:hAnsi="黑体"/>
        </w:rPr>
      </w:pPr>
      <w:r w:rsidRPr="004269BA">
        <w:rPr>
          <w:rFonts w:ascii="黑体" w:eastAsia="黑体" w:hAnsi="黑体"/>
        </w:rPr>
        <w:t>访问控制逻辑：在模态基础上加入 “says” 与 “speaks</w:t>
      </w:r>
      <w:r w:rsidRPr="004269BA">
        <w:rPr>
          <w:rFonts w:ascii="Cambria Math" w:eastAsia="黑体" w:hAnsi="Cambria Math" w:cs="Cambria Math"/>
        </w:rPr>
        <w:t>‑</w:t>
      </w:r>
      <w:r w:rsidRPr="004269BA">
        <w:rPr>
          <w:rFonts w:ascii="黑体" w:eastAsia="黑体" w:hAnsi="黑体"/>
        </w:rPr>
        <w:t>for</w:t>
      </w:r>
      <w:r w:rsidRPr="004269BA">
        <w:rPr>
          <w:rFonts w:ascii="黑体" w:eastAsia="黑体" w:hAnsi="黑体" w:cs="黑体" w:hint="eastAsia"/>
        </w:rPr>
        <w:t>”</w:t>
      </w:r>
      <w:r w:rsidRPr="004269BA">
        <w:rPr>
          <w:rFonts w:ascii="黑体" w:eastAsia="黑体" w:hAnsi="黑体"/>
        </w:rPr>
        <w:t xml:space="preserve"> 等运算符，形式化权限委派与证明。</w:t>
      </w:r>
    </w:p>
    <w:p w14:paraId="712D90EA" w14:textId="77777777" w:rsidR="00F44D7B" w:rsidRPr="004269BA" w:rsidRDefault="00000000">
      <w:pPr>
        <w:pStyle w:val="21"/>
        <w:rPr>
          <w:rFonts w:ascii="黑体" w:eastAsia="黑体" w:hAnsi="黑体"/>
        </w:rPr>
      </w:pPr>
      <w:r w:rsidRPr="004269BA">
        <w:rPr>
          <w:rFonts w:ascii="黑体" w:eastAsia="黑体" w:hAnsi="黑体"/>
        </w:rPr>
        <w:lastRenderedPageBreak/>
        <w:t>6. 应用案例</w:t>
      </w:r>
    </w:p>
    <w:p w14:paraId="7C1D5ECF" w14:textId="77777777" w:rsidR="00F44D7B" w:rsidRPr="004269BA" w:rsidRDefault="00000000">
      <w:pPr>
        <w:rPr>
          <w:rFonts w:ascii="黑体" w:eastAsia="黑体" w:hAnsi="黑体"/>
          <w:lang w:eastAsia="zh-CN"/>
        </w:rPr>
      </w:pPr>
      <w:r w:rsidRPr="004269BA">
        <w:rPr>
          <w:rFonts w:ascii="黑体" w:eastAsia="黑体" w:hAnsi="黑体"/>
          <w:lang w:eastAsia="zh-CN"/>
        </w:rPr>
        <w:t>模型检测工具（如 SPIN、NuSMV）采用 LTL/CTL 形式化规格，对有限状态模型进行自动遍历以发现死锁或安全漏洞；以 Hoare 逻辑为核心的 Verified Software Toolchain 则在 C 语言级别实现了内核模块等安全关键代码的形式化验证；在云计算安全领域，访问控制逻辑被用于证明多租户环境下的授权链条正确性。</w:t>
      </w:r>
    </w:p>
    <w:p w14:paraId="0DCB2A81" w14:textId="77777777" w:rsidR="00F44D7B" w:rsidRPr="004269BA" w:rsidRDefault="00000000">
      <w:pPr>
        <w:pStyle w:val="21"/>
        <w:rPr>
          <w:rFonts w:ascii="黑体" w:eastAsia="黑体" w:hAnsi="黑体"/>
          <w:lang w:eastAsia="zh-CN"/>
        </w:rPr>
      </w:pPr>
      <w:r w:rsidRPr="004269BA">
        <w:rPr>
          <w:rFonts w:ascii="黑体" w:eastAsia="黑体" w:hAnsi="黑体"/>
          <w:lang w:eastAsia="zh-CN"/>
        </w:rPr>
        <w:t>结论</w:t>
      </w:r>
    </w:p>
    <w:p w14:paraId="462A61B7" w14:textId="77777777" w:rsidR="00F44D7B" w:rsidRPr="004269BA" w:rsidRDefault="00000000">
      <w:pPr>
        <w:rPr>
          <w:rFonts w:ascii="黑体" w:eastAsia="黑体" w:hAnsi="黑体"/>
          <w:lang w:eastAsia="zh-CN"/>
        </w:rPr>
      </w:pPr>
      <w:r w:rsidRPr="004269BA">
        <w:rPr>
          <w:rFonts w:ascii="黑体" w:eastAsia="黑体" w:hAnsi="黑体"/>
          <w:lang w:eastAsia="zh-CN"/>
        </w:rPr>
        <w:t>逻辑框架与自动化证明技术的结合日益成为软件与硬件可靠性保障的基石。掌握多种逻辑及其工具链能够显著提升系统的可验证性与安全性。</w:t>
      </w:r>
    </w:p>
    <w:p w14:paraId="62F394ED" w14:textId="77777777" w:rsidR="00F44D7B" w:rsidRPr="004269BA" w:rsidRDefault="00000000">
      <w:pPr>
        <w:pStyle w:val="21"/>
        <w:rPr>
          <w:rFonts w:ascii="黑体" w:eastAsia="黑体" w:hAnsi="黑体"/>
        </w:rPr>
      </w:pPr>
      <w:r w:rsidRPr="004269BA">
        <w:rPr>
          <w:rFonts w:ascii="黑体" w:eastAsia="黑体" w:hAnsi="黑体"/>
        </w:rPr>
        <w:t>参考文献</w:t>
      </w:r>
    </w:p>
    <w:p w14:paraId="35A53412" w14:textId="77777777" w:rsidR="00F44D7B" w:rsidRPr="004269BA" w:rsidRDefault="00000000">
      <w:pPr>
        <w:pStyle w:val="a"/>
        <w:rPr>
          <w:rFonts w:ascii="黑体" w:eastAsia="黑体" w:hAnsi="黑体"/>
        </w:rPr>
      </w:pPr>
      <w:r w:rsidRPr="004269BA">
        <w:rPr>
          <w:rFonts w:ascii="黑体" w:eastAsia="黑体" w:hAnsi="黑体"/>
        </w:rPr>
        <w:t>[1] Huth M., Ryan M. Logic in Computer Science: Modelling and Reasoning about Systems. Cambridge University Press, 3rd ed., 2022.</w:t>
      </w:r>
    </w:p>
    <w:p w14:paraId="1DCB6691" w14:textId="77777777" w:rsidR="00F44D7B" w:rsidRPr="004269BA" w:rsidRDefault="00000000">
      <w:pPr>
        <w:pStyle w:val="a"/>
        <w:rPr>
          <w:rFonts w:ascii="黑体" w:eastAsia="黑体" w:hAnsi="黑体"/>
          <w:lang w:eastAsia="zh-CN"/>
        </w:rPr>
      </w:pPr>
      <w:r w:rsidRPr="004269BA">
        <w:rPr>
          <w:rFonts w:ascii="黑体" w:eastAsia="黑体" w:hAnsi="黑体"/>
          <w:lang w:eastAsia="zh-CN"/>
        </w:rPr>
        <w:t>[2] USTC 课程笔记，《命题逻辑》章节，2021.</w:t>
      </w:r>
    </w:p>
    <w:p w14:paraId="1F2A7BDB" w14:textId="77777777" w:rsidR="00F44D7B" w:rsidRPr="004269BA" w:rsidRDefault="00000000">
      <w:pPr>
        <w:pStyle w:val="a"/>
        <w:rPr>
          <w:rFonts w:ascii="黑体" w:eastAsia="黑体" w:hAnsi="黑体"/>
          <w:lang w:eastAsia="zh-CN"/>
        </w:rPr>
      </w:pPr>
      <w:r w:rsidRPr="004269BA">
        <w:rPr>
          <w:rFonts w:ascii="黑体" w:eastAsia="黑体" w:hAnsi="黑体"/>
          <w:lang w:eastAsia="zh-CN"/>
        </w:rPr>
        <w:t>[3] Zhihu 专栏《计算机科学中的逻辑》系列笔记，2019.</w:t>
      </w:r>
    </w:p>
    <w:p w14:paraId="3BDE365C" w14:textId="77777777" w:rsidR="00F44D7B" w:rsidRPr="004269BA" w:rsidRDefault="00000000">
      <w:pPr>
        <w:pStyle w:val="a"/>
        <w:rPr>
          <w:rFonts w:ascii="黑体" w:eastAsia="黑体" w:hAnsi="黑体"/>
        </w:rPr>
      </w:pPr>
      <w:r w:rsidRPr="004269BA">
        <w:rPr>
          <w:rFonts w:ascii="黑体" w:eastAsia="黑体" w:hAnsi="黑体"/>
        </w:rPr>
        <w:t>[4] Cambridge University Press. Temporal Logics in Computer Science, 2023.</w:t>
      </w:r>
    </w:p>
    <w:p w14:paraId="56D82AEE" w14:textId="77777777" w:rsidR="00F44D7B" w:rsidRPr="004269BA" w:rsidRDefault="00000000">
      <w:pPr>
        <w:pStyle w:val="a"/>
        <w:rPr>
          <w:rFonts w:ascii="黑体" w:eastAsia="黑体" w:hAnsi="黑体"/>
        </w:rPr>
      </w:pPr>
      <w:r w:rsidRPr="004269BA">
        <w:rPr>
          <w:rFonts w:ascii="黑体" w:eastAsia="黑体" w:hAnsi="黑体"/>
        </w:rPr>
        <w:t>[5] Garg D., Abadi M. A Modal Deconstruction of Access Control Logics, FoSSaCS 2008.</w:t>
      </w:r>
    </w:p>
    <w:p w14:paraId="3DF3DF8D" w14:textId="77777777" w:rsidR="00F44D7B" w:rsidRPr="004269BA" w:rsidRDefault="00000000">
      <w:pPr>
        <w:pStyle w:val="a"/>
        <w:rPr>
          <w:rFonts w:ascii="黑体" w:eastAsia="黑体" w:hAnsi="黑体"/>
        </w:rPr>
      </w:pPr>
      <w:r w:rsidRPr="004269BA">
        <w:rPr>
          <w:rFonts w:ascii="黑体" w:eastAsia="黑体" w:hAnsi="黑体"/>
        </w:rPr>
        <w:t>[6] Cornell University. Hoare Logic, Part I, Course CS4160, 2020.</w:t>
      </w:r>
    </w:p>
    <w:p w14:paraId="4FD3FE10" w14:textId="77777777" w:rsidR="00F44D7B" w:rsidRPr="004269BA" w:rsidRDefault="00000000">
      <w:pPr>
        <w:pStyle w:val="a"/>
        <w:rPr>
          <w:rFonts w:ascii="黑体" w:eastAsia="黑体" w:hAnsi="黑体"/>
        </w:rPr>
      </w:pPr>
      <w:r w:rsidRPr="004269BA">
        <w:rPr>
          <w:rFonts w:ascii="黑体" w:eastAsia="黑体" w:hAnsi="黑体"/>
        </w:rPr>
        <w:t>[7] CMU Program Analysis. Lecture 14: Hoare Logic and Verification Condition Generation, 2025.</w:t>
      </w:r>
    </w:p>
    <w:p w14:paraId="12C67D7D" w14:textId="77777777" w:rsidR="00F44D7B" w:rsidRPr="004269BA" w:rsidRDefault="00000000">
      <w:pPr>
        <w:pStyle w:val="a"/>
        <w:rPr>
          <w:rFonts w:ascii="黑体" w:eastAsia="黑体" w:hAnsi="黑体"/>
        </w:rPr>
      </w:pPr>
      <w:r w:rsidRPr="004269BA">
        <w:rPr>
          <w:rFonts w:ascii="黑体" w:eastAsia="黑体" w:hAnsi="黑体"/>
        </w:rPr>
        <w:t>[8] SimpleScience. New Insights in Propositional Dynamic Logic, 2025.</w:t>
      </w:r>
    </w:p>
    <w:p w14:paraId="63C8D76F" w14:textId="77777777" w:rsidR="00F44D7B" w:rsidRPr="004269BA" w:rsidRDefault="00000000">
      <w:pPr>
        <w:pStyle w:val="a"/>
        <w:rPr>
          <w:rFonts w:ascii="黑体" w:eastAsia="黑体" w:hAnsi="黑体"/>
        </w:rPr>
      </w:pPr>
      <w:r w:rsidRPr="004269BA">
        <w:rPr>
          <w:rFonts w:ascii="黑体" w:eastAsia="黑体" w:hAnsi="黑体"/>
        </w:rPr>
        <w:t>[9] SpringerLink. Temporal Logic and State Systems, 2024.</w:t>
      </w:r>
    </w:p>
    <w:sectPr w:rsidR="00F44D7B" w:rsidRPr="00426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72096511">
    <w:abstractNumId w:val="8"/>
  </w:num>
  <w:num w:numId="2" w16cid:durableId="2136213506">
    <w:abstractNumId w:val="6"/>
  </w:num>
  <w:num w:numId="3" w16cid:durableId="657731522">
    <w:abstractNumId w:val="5"/>
  </w:num>
  <w:num w:numId="4" w16cid:durableId="1847787699">
    <w:abstractNumId w:val="4"/>
  </w:num>
  <w:num w:numId="5" w16cid:durableId="999771652">
    <w:abstractNumId w:val="7"/>
  </w:num>
  <w:num w:numId="6" w16cid:durableId="1536886303">
    <w:abstractNumId w:val="3"/>
  </w:num>
  <w:num w:numId="7" w16cid:durableId="1304384988">
    <w:abstractNumId w:val="2"/>
  </w:num>
  <w:num w:numId="8" w16cid:durableId="1374236619">
    <w:abstractNumId w:val="1"/>
  </w:num>
  <w:num w:numId="9" w16cid:durableId="180152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C1C"/>
    <w:rsid w:val="004269BA"/>
    <w:rsid w:val="006C127E"/>
    <w:rsid w:val="00AA1D8D"/>
    <w:rsid w:val="00B47730"/>
    <w:rsid w:val="00CB0664"/>
    <w:rsid w:val="00F44D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1E9D1"/>
  <w14:defaultImageDpi w14:val="300"/>
  <w15:docId w15:val="{9D144B89-E5DB-4FF7-BA46-8DDC4AA0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维汉 孟</cp:lastModifiedBy>
  <cp:revision>3</cp:revision>
  <dcterms:created xsi:type="dcterms:W3CDTF">2013-12-23T23:15:00Z</dcterms:created>
  <dcterms:modified xsi:type="dcterms:W3CDTF">2025-05-18T11:42:00Z</dcterms:modified>
  <cp:category/>
</cp:coreProperties>
</file>