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A9AED" w14:textId="77777777" w:rsidR="00F13065" w:rsidRDefault="00000000">
      <w:pPr>
        <w:spacing w:before="480" w:after="120"/>
        <w:jc w:val="center"/>
      </w:pPr>
      <w:r>
        <w:rPr>
          <w:b/>
          <w:bCs/>
          <w:color w:val="1A3A5C"/>
          <w:sz w:val="48"/>
          <w:szCs w:val="48"/>
        </w:rPr>
        <w:t>Model Evaluation Methodology</w:t>
      </w:r>
    </w:p>
    <w:p w14:paraId="15B6308B" w14:textId="77777777" w:rsidR="00F13065" w:rsidRDefault="00000000">
      <w:pPr>
        <w:spacing w:after="80"/>
        <w:jc w:val="center"/>
      </w:pPr>
      <w:r>
        <w:rPr>
          <w:i/>
          <w:iCs/>
          <w:color w:val="2C5F8A"/>
          <w:sz w:val="26"/>
          <w:szCs w:val="26"/>
        </w:rPr>
        <w:t>Cross-Validation Design, Statistical Testing, and Feature Interpretation</w:t>
      </w:r>
    </w:p>
    <w:p w14:paraId="0971120D" w14:textId="77777777" w:rsidR="00F13065" w:rsidRDefault="00000000">
      <w:pPr>
        <w:spacing w:after="480"/>
        <w:jc w:val="center"/>
      </w:pPr>
      <w:r>
        <w:rPr>
          <w:color w:val="888888"/>
        </w:rPr>
        <w:t>Lubrication Condition Monitoring — AE vs. Ultrasound Sensor Comparison</w:t>
      </w:r>
    </w:p>
    <w:p w14:paraId="51CE301F" w14:textId="77777777" w:rsidR="00F13065" w:rsidRDefault="00F13065">
      <w:pPr>
        <w:pBdr>
          <w:bottom w:val="single" w:sz="6" w:space="1" w:color="2C5F8A"/>
        </w:pBdr>
        <w:spacing w:after="360"/>
      </w:pPr>
    </w:p>
    <w:p w14:paraId="6E190653" w14:textId="77777777" w:rsidR="00F13065" w:rsidRDefault="00000000">
      <w:pPr>
        <w:pStyle w:val="Heading1"/>
      </w:pPr>
      <w:r>
        <w:t>1. Experimental Setup and Data Structure</w:t>
      </w:r>
    </w:p>
    <w:p w14:paraId="5114A207" w14:textId="77777777" w:rsidR="00F13065" w:rsidRDefault="00F13065">
      <w:pPr>
        <w:spacing w:before="120"/>
      </w:pPr>
    </w:p>
    <w:p w14:paraId="1F98B465" w14:textId="77777777" w:rsidR="00F13065" w:rsidRDefault="00000000">
      <w:pPr>
        <w:spacing w:before="80" w:after="80"/>
      </w:pPr>
      <w:r>
        <w:t>The dataset consists of simultaneously acquired acoustic emission (AE) and passive ultrasound (US) signals from a single ball bearing test rig. Signals are segmented into observation windows, each of which is treated as an independent sample. Windows are not identically distributed, as they are collected across a sweep of operating conditions (varying RPM and temperature). No bearing degradation is present within the experimental duration.</w:t>
      </w:r>
    </w:p>
    <w:p w14:paraId="404D55F7" w14:textId="77777777" w:rsidR="00F13065" w:rsidRDefault="00F13065">
      <w:pPr>
        <w:spacing w:before="120"/>
      </w:pPr>
    </w:p>
    <w:p w14:paraId="71E7C54F" w14:textId="77777777" w:rsidR="00F13065" w:rsidRDefault="00000000">
      <w:pPr>
        <w:spacing w:before="80" w:after="80"/>
      </w:pPr>
      <w:r>
        <w:t>Three feature sets are derived from the raw signals:</w:t>
      </w:r>
    </w:p>
    <w:p w14:paraId="63896D12" w14:textId="77777777" w:rsidR="00F13065" w:rsidRDefault="00000000">
      <w:pPr>
        <w:pStyle w:val="ListParagraph"/>
        <w:numPr>
          <w:ilvl w:val="0"/>
          <w:numId w:val="2"/>
        </w:numPr>
        <w:spacing w:before="60" w:after="60"/>
      </w:pPr>
      <w:r>
        <w:t>AE feature set — time-domain, frequency-domain, and wavelet packet features extracted from acoustic emission windows</w:t>
      </w:r>
    </w:p>
    <w:p w14:paraId="2A2A31AB" w14:textId="77777777" w:rsidR="00F13065" w:rsidRDefault="00000000">
      <w:pPr>
        <w:pStyle w:val="ListParagraph"/>
        <w:numPr>
          <w:ilvl w:val="0"/>
          <w:numId w:val="2"/>
        </w:numPr>
        <w:spacing w:before="60" w:after="60"/>
      </w:pPr>
      <w:r>
        <w:t>US feature set — equivalent feature extraction applied to passive ultrasound windows</w:t>
      </w:r>
    </w:p>
    <w:p w14:paraId="2FC036B4" w14:textId="77777777" w:rsidR="00F13065" w:rsidRDefault="00000000">
      <w:pPr>
        <w:pStyle w:val="ListParagraph"/>
        <w:numPr>
          <w:ilvl w:val="0"/>
          <w:numId w:val="2"/>
        </w:numPr>
        <w:spacing w:before="60" w:after="60"/>
      </w:pPr>
      <w:r>
        <w:t>Combined feature set — concatenation of AE and US features for the same windows</w:t>
      </w:r>
    </w:p>
    <w:p w14:paraId="7BFF5919" w14:textId="77777777" w:rsidR="00F13065" w:rsidRDefault="00F13065">
      <w:pPr>
        <w:spacing w:before="120"/>
      </w:pPr>
    </w:p>
    <w:p w14:paraId="0E0A1FC0" w14:textId="77777777" w:rsidR="00F13065" w:rsidRDefault="00000000">
      <w:pPr>
        <w:spacing w:before="80" w:after="80"/>
      </w:pPr>
      <w:r>
        <w:t>Three regression models are trained and evaluated on each feature set, yielding nine model–feature set combinations in total:</w:t>
      </w:r>
    </w:p>
    <w:p w14:paraId="3570D268" w14:textId="77777777" w:rsidR="00F13065" w:rsidRDefault="00F130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13065" w14:paraId="2078F4C1" w14:textId="77777777">
        <w:tblPrEx>
          <w:tblCellMar>
            <w:top w:w="0" w:type="dxa"/>
            <w:bottom w:w="0" w:type="dxa"/>
          </w:tblCellMar>
        </w:tblPrEx>
        <w:trPr>
          <w:tblHeader/>
        </w:trPr>
        <w:tc>
          <w:tcPr>
            <w:tcW w:w="360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40" w:type="dxa"/>
              <w:bottom w:w="100" w:type="dxa"/>
              <w:right w:w="140" w:type="dxa"/>
            </w:tcMar>
          </w:tcPr>
          <w:p w14:paraId="4444A876" w14:textId="77777777" w:rsidR="00F13065" w:rsidRDefault="00000000">
            <w:r>
              <w:rPr>
                <w:b/>
                <w:bCs/>
                <w:color w:val="FFFFFF"/>
                <w:sz w:val="20"/>
                <w:szCs w:val="20"/>
              </w:rPr>
              <w:t>Feature Set</w:t>
            </w:r>
          </w:p>
        </w:tc>
        <w:tc>
          <w:tcPr>
            <w:tcW w:w="576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40" w:type="dxa"/>
              <w:bottom w:w="100" w:type="dxa"/>
              <w:right w:w="140" w:type="dxa"/>
            </w:tcMar>
          </w:tcPr>
          <w:p w14:paraId="18FF980D" w14:textId="77777777" w:rsidR="00F13065" w:rsidRDefault="00000000">
            <w:r>
              <w:rPr>
                <w:b/>
                <w:bCs/>
                <w:color w:val="FFFFFF"/>
                <w:sz w:val="20"/>
                <w:szCs w:val="20"/>
              </w:rPr>
              <w:t>Models Applied</w:t>
            </w:r>
          </w:p>
        </w:tc>
      </w:tr>
      <w:tr w:rsidR="00F13065" w14:paraId="4EE4B7A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B525545" w14:textId="77777777" w:rsidR="00F13065" w:rsidRDefault="00000000">
            <w:r>
              <w:rPr>
                <w:sz w:val="20"/>
                <w:szCs w:val="20"/>
              </w:rPr>
              <w:t>Acoustic Emission (AE)</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09E2B03" w14:textId="77777777" w:rsidR="00F13065" w:rsidRDefault="00000000">
            <w:r>
              <w:rPr>
                <w:sz w:val="20"/>
                <w:szCs w:val="20"/>
              </w:rPr>
              <w:t xml:space="preserve">Elastic Net, Polynomial Regression, </w:t>
            </w:r>
            <w:proofErr w:type="spellStart"/>
            <w:r>
              <w:rPr>
                <w:sz w:val="20"/>
                <w:szCs w:val="20"/>
              </w:rPr>
              <w:t>LightGBM</w:t>
            </w:r>
            <w:proofErr w:type="spellEnd"/>
          </w:p>
        </w:tc>
      </w:tr>
      <w:tr w:rsidR="00F13065" w14:paraId="59C6E5E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657567" w14:textId="77777777" w:rsidR="00F13065" w:rsidRDefault="00000000">
            <w:r>
              <w:rPr>
                <w:sz w:val="20"/>
                <w:szCs w:val="20"/>
              </w:rPr>
              <w:t>Ultrasound (US)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55D486" w14:textId="77777777" w:rsidR="00F13065" w:rsidRDefault="00000000">
            <w:r>
              <w:rPr>
                <w:sz w:val="20"/>
                <w:szCs w:val="20"/>
              </w:rPr>
              <w:t xml:space="preserve">Elastic Net, Polynomial Regression, </w:t>
            </w:r>
            <w:proofErr w:type="spellStart"/>
            <w:r>
              <w:rPr>
                <w:sz w:val="20"/>
                <w:szCs w:val="20"/>
              </w:rPr>
              <w:t>LightGBM</w:t>
            </w:r>
            <w:proofErr w:type="spellEnd"/>
          </w:p>
        </w:tc>
      </w:tr>
      <w:tr w:rsidR="00F13065" w14:paraId="7A123E2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E6FBFB7" w14:textId="77777777" w:rsidR="00F13065" w:rsidRDefault="00000000">
            <w:r>
              <w:rPr>
                <w:sz w:val="20"/>
                <w:szCs w:val="20"/>
              </w:rPr>
              <w:t>Combined (AE + US)</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01AAAAB" w14:textId="77777777" w:rsidR="00F13065" w:rsidRDefault="00000000">
            <w:r>
              <w:rPr>
                <w:sz w:val="20"/>
                <w:szCs w:val="20"/>
              </w:rPr>
              <w:t xml:space="preserve">Elastic Net, Polynomial Regression, </w:t>
            </w:r>
            <w:proofErr w:type="spellStart"/>
            <w:r>
              <w:rPr>
                <w:sz w:val="20"/>
                <w:szCs w:val="20"/>
              </w:rPr>
              <w:t>LightGBM</w:t>
            </w:r>
            <w:proofErr w:type="spellEnd"/>
          </w:p>
        </w:tc>
      </w:tr>
    </w:tbl>
    <w:p w14:paraId="28E67A4A" w14:textId="77777777" w:rsidR="00F13065" w:rsidRDefault="00F13065">
      <w:pPr>
        <w:spacing w:before="200"/>
      </w:pPr>
    </w:p>
    <w:p w14:paraId="2CEE3DEE" w14:textId="77777777" w:rsidR="00F13065" w:rsidRDefault="00000000">
      <w:pPr>
        <w:spacing w:before="80" w:after="80"/>
      </w:pPr>
      <w:r>
        <w:t xml:space="preserve">All models target the viscosity ratio κ (ν/ν₁) as the regression output. Because RPM and temperature are unavailable at deployment time, they are excluded from the feature </w:t>
      </w:r>
      <w:proofErr w:type="gramStart"/>
      <w:r>
        <w:t>sets</w:t>
      </w:r>
      <w:proofErr w:type="gramEnd"/>
      <w:r>
        <w:t xml:space="preserve"> and the model must infer lubrication condition from sensor signals alone.</w:t>
      </w:r>
    </w:p>
    <w:p w14:paraId="4ACA8D28" w14:textId="77777777" w:rsidR="00F13065" w:rsidRDefault="00F13065">
      <w:pPr>
        <w:spacing w:before="200"/>
      </w:pPr>
    </w:p>
    <w:p w14:paraId="57960C20" w14:textId="77777777" w:rsidR="00F13065" w:rsidRDefault="00000000">
      <w:pPr>
        <w:pStyle w:val="Heading1"/>
      </w:pPr>
      <w:r>
        <w:t>2. Cross-Validation Design</w:t>
      </w:r>
    </w:p>
    <w:p w14:paraId="325C043D" w14:textId="77777777" w:rsidR="00F13065" w:rsidRDefault="00F13065">
      <w:pPr>
        <w:spacing w:before="120"/>
      </w:pPr>
    </w:p>
    <w:p w14:paraId="0F1B5F1F" w14:textId="77777777" w:rsidR="00F13065" w:rsidRDefault="00000000">
      <w:pPr>
        <w:pStyle w:val="Heading2"/>
      </w:pPr>
      <w:r>
        <w:t>2.1 Holdout Set</w:t>
      </w:r>
    </w:p>
    <w:p w14:paraId="281CDC44" w14:textId="77777777" w:rsidR="00F13065" w:rsidRDefault="00000000">
      <w:pPr>
        <w:spacing w:before="80" w:after="80"/>
      </w:pPr>
      <w:r>
        <w:lastRenderedPageBreak/>
        <w:t>Prior to any model fitting or hyperparameter search, a fixed holdout set is separated from the full dataset. This set is stratified by operating condition to ensure representative coverage of the RPM–temperature space. The holdout set is never used during training or validation and is evaluated exactly once per model, at the end of the pipeline. It serves as the basis for the final residual-level statistical comparisons described in Section 3.2.</w:t>
      </w:r>
    </w:p>
    <w:p w14:paraId="763AD26C" w14:textId="77777777" w:rsidR="00F13065" w:rsidRDefault="00F13065">
      <w:pPr>
        <w:spacing w:before="120"/>
      </w:pPr>
    </w:p>
    <w:p w14:paraId="49A78281" w14:textId="77777777" w:rsidR="00F13065" w:rsidRDefault="00000000">
      <w:pPr>
        <w:pStyle w:val="Heading2"/>
      </w:pPr>
      <w:r>
        <w:t>2.2 Repeated Nested Cross-Validation</w:t>
      </w:r>
    </w:p>
    <w:p w14:paraId="3A465FB6" w14:textId="77777777" w:rsidR="00F13065" w:rsidRDefault="00000000">
      <w:pPr>
        <w:spacing w:before="80" w:after="80"/>
      </w:pPr>
      <w:r>
        <w:t>The remaining data (excluding the holdout set) is used for performance estimation via repeated nested cross-validation. The procedure is as follows:</w:t>
      </w:r>
    </w:p>
    <w:p w14:paraId="38D2A295" w14:textId="77777777" w:rsidR="00F13065" w:rsidRDefault="00F13065">
      <w:pPr>
        <w:spacing w:before="120"/>
      </w:pPr>
    </w:p>
    <w:p w14:paraId="03B40354" w14:textId="77777777" w:rsidR="00F13065" w:rsidRDefault="00000000">
      <w:pPr>
        <w:pStyle w:val="ListParagraph"/>
        <w:numPr>
          <w:ilvl w:val="0"/>
          <w:numId w:val="2"/>
        </w:numPr>
        <w:spacing w:before="60" w:after="60"/>
      </w:pPr>
      <w:r>
        <w:t>The outer loop partitions the training pool into k folds. Each outer fold produces one held-out test score per model. Folds are stratified by operating condition to prevent condition leakage across splits.</w:t>
      </w:r>
    </w:p>
    <w:p w14:paraId="2BF04EC9" w14:textId="77777777" w:rsidR="00F13065" w:rsidRDefault="00000000">
      <w:pPr>
        <w:pStyle w:val="ListParagraph"/>
        <w:numPr>
          <w:ilvl w:val="0"/>
          <w:numId w:val="2"/>
        </w:numPr>
        <w:spacing w:before="60" w:after="60"/>
      </w:pPr>
      <w:r>
        <w:t>The inner loop operates on the outer training portion and performs hyperparameter search via cross-validation. It returns the best hyperparameter configuration for that outer fold.</w:t>
      </w:r>
    </w:p>
    <w:p w14:paraId="3D0B415F" w14:textId="77777777" w:rsidR="00F13065" w:rsidRDefault="00000000">
      <w:pPr>
        <w:pStyle w:val="ListParagraph"/>
        <w:numPr>
          <w:ilvl w:val="0"/>
          <w:numId w:val="2"/>
        </w:numPr>
        <w:spacing w:before="60" w:after="60"/>
      </w:pPr>
      <w:r>
        <w:t>The full nested CV procedure is repeated R times (recommended: 10–30 repeats) using different random seeds, varying the outer fold partitioning across repeats. The model initialisation seed is held fixed across repeats to isolate partitioning variance as the primary source of variability.</w:t>
      </w:r>
    </w:p>
    <w:p w14:paraId="73D7B6DF" w14:textId="77777777" w:rsidR="00F13065" w:rsidRDefault="00F13065">
      <w:pPr>
        <w:spacing w:before="120"/>
      </w:pPr>
    </w:p>
    <w:p w14:paraId="358F6F4A" w14:textId="77777777" w:rsidR="00F13065" w:rsidRDefault="00000000">
      <w:pPr>
        <w:spacing w:before="80" w:after="80"/>
      </w:pPr>
      <w:r>
        <w:t>This yields a distribution of R × k outer test scores per model–feature set combination. These distributions form the basis for performance reporting and the partition-level statistical tests described in Section 3.1.</w:t>
      </w:r>
    </w:p>
    <w:p w14:paraId="5AAD4179" w14:textId="77777777" w:rsidR="00F13065" w:rsidRDefault="00F13065">
      <w:pPr>
        <w:spacing w:before="120"/>
      </w:pPr>
    </w:p>
    <w:p w14:paraId="43B5A5C2" w14:textId="77777777" w:rsidR="00F13065" w:rsidRDefault="00000000">
      <w:pPr>
        <w:spacing w:before="80" w:after="80"/>
      </w:pPr>
      <w:r>
        <w:rPr>
          <w:b/>
          <w:bCs/>
        </w:rPr>
        <w:t>Recommended settings:</w:t>
      </w:r>
    </w:p>
    <w:p w14:paraId="2AA4E569" w14:textId="77777777" w:rsidR="00F13065" w:rsidRDefault="00F1306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F13065" w14:paraId="7C7370AD" w14:textId="77777777">
        <w:tblPrEx>
          <w:tblCellMar>
            <w:top w:w="0" w:type="dxa"/>
            <w:bottom w:w="0" w:type="dxa"/>
          </w:tblCellMar>
        </w:tblPrEx>
        <w:trPr>
          <w:tblHeader/>
        </w:trPr>
        <w:tc>
          <w:tcPr>
            <w:tcW w:w="240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40" w:type="dxa"/>
              <w:bottom w:w="100" w:type="dxa"/>
              <w:right w:w="140" w:type="dxa"/>
            </w:tcMar>
          </w:tcPr>
          <w:p w14:paraId="1301B022" w14:textId="77777777" w:rsidR="00F13065" w:rsidRDefault="00000000">
            <w:r>
              <w:rPr>
                <w:b/>
                <w:bCs/>
                <w:color w:val="FFFFFF"/>
                <w:sz w:val="20"/>
                <w:szCs w:val="20"/>
              </w:rPr>
              <w:t>Parameter</w:t>
            </w:r>
          </w:p>
        </w:tc>
        <w:tc>
          <w:tcPr>
            <w:tcW w:w="216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40" w:type="dxa"/>
              <w:bottom w:w="100" w:type="dxa"/>
              <w:right w:w="140" w:type="dxa"/>
            </w:tcMar>
          </w:tcPr>
          <w:p w14:paraId="42CECAAA" w14:textId="77777777" w:rsidR="00F13065" w:rsidRDefault="00000000">
            <w:r>
              <w:rPr>
                <w:b/>
                <w:bCs/>
                <w:color w:val="FFFFFF"/>
                <w:sz w:val="20"/>
                <w:szCs w:val="20"/>
              </w:rPr>
              <w:t>Value</w:t>
            </w:r>
          </w:p>
        </w:tc>
        <w:tc>
          <w:tcPr>
            <w:tcW w:w="480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40" w:type="dxa"/>
              <w:bottom w:w="100" w:type="dxa"/>
              <w:right w:w="140" w:type="dxa"/>
            </w:tcMar>
          </w:tcPr>
          <w:p w14:paraId="1241AC16" w14:textId="77777777" w:rsidR="00F13065" w:rsidRDefault="00000000">
            <w:r>
              <w:rPr>
                <w:b/>
                <w:bCs/>
                <w:color w:val="FFFFFF"/>
                <w:sz w:val="20"/>
                <w:szCs w:val="20"/>
              </w:rPr>
              <w:t>Rationale</w:t>
            </w:r>
          </w:p>
        </w:tc>
      </w:tr>
      <w:tr w:rsidR="00F13065" w14:paraId="3E5FF2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3B68EE3" w14:textId="77777777" w:rsidR="00F13065" w:rsidRDefault="00000000">
            <w:r>
              <w:rPr>
                <w:sz w:val="20"/>
                <w:szCs w:val="20"/>
              </w:rPr>
              <w:t>Outer folds (k)</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D9485FD" w14:textId="77777777" w:rsidR="00F13065" w:rsidRDefault="00000000">
            <w:r>
              <w:rPr>
                <w:sz w:val="20"/>
                <w:szCs w:val="20"/>
              </w:rPr>
              <w:t>5 or 10</w:t>
            </w:r>
          </w:p>
        </w:tc>
        <w:tc>
          <w:tcPr>
            <w:tcW w:w="4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5E50791" w14:textId="77777777" w:rsidR="00F13065" w:rsidRDefault="00000000">
            <w:r>
              <w:rPr>
                <w:sz w:val="20"/>
                <w:szCs w:val="20"/>
              </w:rPr>
              <w:t>Standard; 10 preferred for smaller datasets</w:t>
            </w:r>
          </w:p>
        </w:tc>
      </w:tr>
      <w:tr w:rsidR="00F13065" w14:paraId="21DF42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DACADF" w14:textId="77777777" w:rsidR="00F13065" w:rsidRDefault="00000000">
            <w:r>
              <w:rPr>
                <w:sz w:val="20"/>
                <w:szCs w:val="20"/>
              </w:rPr>
              <w:t>Repeats (R)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A57FAA" w14:textId="77777777" w:rsidR="00F13065" w:rsidRDefault="00000000">
            <w:r>
              <w:rPr>
                <w:sz w:val="20"/>
                <w:szCs w:val="20"/>
              </w:rPr>
              <w:t>10–30</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1F6E83" w14:textId="77777777" w:rsidR="00F13065" w:rsidRDefault="00000000">
            <w:r>
              <w:rPr>
                <w:sz w:val="20"/>
                <w:szCs w:val="20"/>
              </w:rPr>
              <w:t>10 sufficient for most purposes; 30 for high-variance models</w:t>
            </w:r>
          </w:p>
        </w:tc>
      </w:tr>
      <w:tr w:rsidR="00F13065" w14:paraId="135129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CFC6C1D" w14:textId="77777777" w:rsidR="00F13065" w:rsidRDefault="00000000">
            <w:r>
              <w:rPr>
                <w:sz w:val="20"/>
                <w:szCs w:val="20"/>
              </w:rPr>
              <w:t>Inner folds</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ACC3B1F" w14:textId="77777777" w:rsidR="00F13065" w:rsidRDefault="00000000">
            <w:r>
              <w:rPr>
                <w:sz w:val="20"/>
                <w:szCs w:val="20"/>
              </w:rPr>
              <w:t>5</w:t>
            </w:r>
          </w:p>
        </w:tc>
        <w:tc>
          <w:tcPr>
            <w:tcW w:w="4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8050302" w14:textId="77777777" w:rsidR="00F13065" w:rsidRDefault="00000000">
            <w:r>
              <w:rPr>
                <w:sz w:val="20"/>
                <w:szCs w:val="20"/>
              </w:rPr>
              <w:t>Sufficient for hyperparameter stability</w:t>
            </w:r>
          </w:p>
        </w:tc>
      </w:tr>
      <w:tr w:rsidR="00F13065" w14:paraId="0FE665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A018C9" w14:textId="77777777" w:rsidR="00F13065" w:rsidRDefault="00000000">
            <w:r>
              <w:rPr>
                <w:sz w:val="20"/>
                <w:szCs w:val="20"/>
              </w:rPr>
              <w:t>Fold stratification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E39AAE" w14:textId="77777777" w:rsidR="00F13065" w:rsidRDefault="00000000">
            <w:r>
              <w:rPr>
                <w:sz w:val="20"/>
                <w:szCs w:val="20"/>
              </w:rPr>
              <w:t>By operating condition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B1DFE0" w14:textId="77777777" w:rsidR="00F13065" w:rsidRDefault="00000000">
            <w:r>
              <w:rPr>
                <w:sz w:val="20"/>
                <w:szCs w:val="20"/>
              </w:rPr>
              <w:t>Prevents condition leakage across splits</w:t>
            </w:r>
          </w:p>
        </w:tc>
      </w:tr>
      <w:tr w:rsidR="00F13065" w14:paraId="030FE0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4E2D3E2" w14:textId="77777777" w:rsidR="00F13065" w:rsidRDefault="00000000">
            <w:r>
              <w:rPr>
                <w:sz w:val="20"/>
                <w:szCs w:val="20"/>
              </w:rPr>
              <w:t>Model seed</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CE73115" w14:textId="77777777" w:rsidR="00F13065" w:rsidRDefault="00000000">
            <w:r>
              <w:rPr>
                <w:sz w:val="20"/>
                <w:szCs w:val="20"/>
              </w:rPr>
              <w:t>Fixed across repeats</w:t>
            </w:r>
          </w:p>
        </w:tc>
        <w:tc>
          <w:tcPr>
            <w:tcW w:w="4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C52E45F" w14:textId="77777777" w:rsidR="00F13065" w:rsidRDefault="00000000">
            <w:r>
              <w:rPr>
                <w:sz w:val="20"/>
                <w:szCs w:val="20"/>
              </w:rPr>
              <w:t>Isolates partitioning variance cleanly</w:t>
            </w:r>
          </w:p>
        </w:tc>
      </w:tr>
      <w:tr w:rsidR="00F13065" w14:paraId="609B37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11A238" w14:textId="77777777" w:rsidR="00F13065" w:rsidRDefault="00000000">
            <w:r>
              <w:rPr>
                <w:sz w:val="20"/>
                <w:szCs w:val="20"/>
              </w:rPr>
              <w:t>Partition seed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88EAA1" w14:textId="77777777" w:rsidR="00F13065" w:rsidRDefault="00000000">
            <w:r>
              <w:rPr>
                <w:sz w:val="20"/>
                <w:szCs w:val="20"/>
              </w:rPr>
              <w:t>Varied per repeat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9DFA60" w14:textId="77777777" w:rsidR="00F13065" w:rsidRDefault="00000000">
            <w:r>
              <w:rPr>
                <w:sz w:val="20"/>
                <w:szCs w:val="20"/>
              </w:rPr>
              <w:t>Source of the distribution over scores</w:t>
            </w:r>
          </w:p>
        </w:tc>
      </w:tr>
    </w:tbl>
    <w:p w14:paraId="3DAEEDAC" w14:textId="77777777" w:rsidR="00F13065" w:rsidRDefault="00F13065">
      <w:pPr>
        <w:spacing w:before="200"/>
      </w:pPr>
    </w:p>
    <w:p w14:paraId="7AE0A3F7" w14:textId="77777777" w:rsidR="00F13065" w:rsidRDefault="00000000">
      <w:pPr>
        <w:pStyle w:val="Heading2"/>
      </w:pPr>
      <w:r>
        <w:t>2.3 Hyperparameter Selection for the Final Model</w:t>
      </w:r>
    </w:p>
    <w:p w14:paraId="0572A631" w14:textId="5AD4D33C" w:rsidR="00F13065" w:rsidRDefault="00000000" w:rsidP="00BB2016">
      <w:pPr>
        <w:spacing w:before="80" w:after="80"/>
      </w:pPr>
      <w:r>
        <w:t>Nested cross-validation provides performance estimates but produces one set of hyperparameters per outer fold. To obtain a single final hyperparameter configuration</w:t>
      </w:r>
      <w:r w:rsidR="00BB2016">
        <w:t xml:space="preserve">, </w:t>
      </w:r>
      <w:proofErr w:type="gramStart"/>
      <w:r w:rsidR="00BB2016">
        <w:t>a  s</w:t>
      </w:r>
      <w:r>
        <w:t>ingle</w:t>
      </w:r>
      <w:proofErr w:type="gramEnd"/>
      <w:r>
        <w:t xml:space="preserve"> non-nested cross-validation</w:t>
      </w:r>
      <w:r w:rsidR="00BB2016">
        <w:t xml:space="preserve"> is run</w:t>
      </w:r>
      <w:r>
        <w:t xml:space="preserve"> on the full training pool using the same search </w:t>
      </w:r>
      <w:r>
        <w:lastRenderedPageBreak/>
        <w:t>space. This final CV is used solely for hyperparameter selection, not for performance estimation.</w:t>
      </w:r>
    </w:p>
    <w:p w14:paraId="1A5E4EB7" w14:textId="77777777" w:rsidR="00F13065" w:rsidRDefault="00F13065">
      <w:pPr>
        <w:spacing w:before="120"/>
      </w:pPr>
    </w:p>
    <w:p w14:paraId="2EFE7CB3" w14:textId="77777777" w:rsidR="00F13065" w:rsidRDefault="00000000">
      <w:pPr>
        <w:spacing w:before="80" w:after="80"/>
      </w:pPr>
      <w:r>
        <w:t>The final model is then refit once on the complete training pool (all non-holdout data) using the selected hyperparameters.</w:t>
      </w:r>
    </w:p>
    <w:p w14:paraId="7402BE09" w14:textId="77777777" w:rsidR="00F13065" w:rsidRDefault="00F13065">
      <w:pPr>
        <w:spacing w:before="120"/>
      </w:pPr>
    </w:p>
    <w:p w14:paraId="28414566" w14:textId="77777777" w:rsidR="00F13065" w:rsidRDefault="00000000">
      <w:pPr>
        <w:pStyle w:val="Heading2"/>
      </w:pPr>
      <w:r>
        <w:t>2.4 Final Model Evaluation</w:t>
      </w:r>
    </w:p>
    <w:p w14:paraId="6B1023B5" w14:textId="77777777" w:rsidR="00F13065" w:rsidRDefault="00000000">
      <w:pPr>
        <w:spacing w:before="80" w:after="80"/>
      </w:pPr>
      <w:r>
        <w:t>Each of the nine final models is evaluated once on the fixed holdout set. Raw predictions and residuals are stored for all models simultaneously, since the holdout windows are shared across feature sets. This paired structure is exploited directly in the residual-level statistical tests.</w:t>
      </w:r>
    </w:p>
    <w:p w14:paraId="6536C5CC" w14:textId="77777777" w:rsidR="00F13065" w:rsidRDefault="00F13065">
      <w:pPr>
        <w:spacing w:before="200"/>
      </w:pPr>
    </w:p>
    <w:p w14:paraId="014F0472" w14:textId="77777777" w:rsidR="00F13065" w:rsidRDefault="00000000">
      <w:pPr>
        <w:pStyle w:val="Heading1"/>
      </w:pPr>
      <w:r>
        <w:t>3. Statistical Testing</w:t>
      </w:r>
    </w:p>
    <w:p w14:paraId="4F6A3B04" w14:textId="77777777" w:rsidR="00F13065" w:rsidRDefault="00F13065">
      <w:pPr>
        <w:spacing w:before="120"/>
      </w:pPr>
    </w:p>
    <w:p w14:paraId="3966EBBC" w14:textId="77777777" w:rsidR="00F13065" w:rsidRDefault="00000000">
      <w:pPr>
        <w:spacing w:before="80" w:after="80"/>
      </w:pPr>
      <w:r>
        <w:t>Statistical comparisons are conducted at two complementary levels, each answering a distinct question about model performance.</w:t>
      </w:r>
    </w:p>
    <w:p w14:paraId="3C6E6416" w14:textId="77777777" w:rsidR="00F13065" w:rsidRDefault="00F13065">
      <w:pPr>
        <w:spacing w:before="120"/>
      </w:pPr>
    </w:p>
    <w:p w14:paraId="72028332" w14:textId="77777777" w:rsidR="00F13065" w:rsidRDefault="00000000">
      <w:pPr>
        <w:pStyle w:val="Heading2"/>
      </w:pPr>
      <w:r>
        <w:t>3.1 Partition-Level Tests: Repeated Nested CV Score Distributions</w:t>
      </w:r>
    </w:p>
    <w:p w14:paraId="657001E2" w14:textId="77777777" w:rsidR="00F13065" w:rsidRDefault="00000000">
      <w:pPr>
        <w:spacing w:before="80" w:after="80"/>
      </w:pPr>
      <w:r>
        <w:t xml:space="preserve">The distributions of outer test scores from repeated nested CV are used to test whether performance differences between models are stable across different data </w:t>
      </w:r>
      <w:proofErr w:type="spellStart"/>
      <w:r>
        <w:t>partitionings</w:t>
      </w:r>
      <w:proofErr w:type="spellEnd"/>
      <w:r>
        <w:t>.</w:t>
      </w:r>
    </w:p>
    <w:p w14:paraId="15052A86" w14:textId="77777777" w:rsidR="00F13065" w:rsidRDefault="00F13065">
      <w:pPr>
        <w:spacing w:before="120"/>
      </w:pPr>
    </w:p>
    <w:p w14:paraId="023D0DFB" w14:textId="77777777" w:rsidR="00F13065" w:rsidRDefault="00000000">
      <w:pPr>
        <w:spacing w:before="80" w:after="80"/>
      </w:pPr>
      <w:r>
        <w:t>Procedure:</w:t>
      </w:r>
    </w:p>
    <w:p w14:paraId="7B4E0B9B" w14:textId="77777777" w:rsidR="00F13065" w:rsidRDefault="00000000">
      <w:pPr>
        <w:pStyle w:val="ListParagraph"/>
        <w:numPr>
          <w:ilvl w:val="0"/>
          <w:numId w:val="2"/>
        </w:numPr>
        <w:spacing w:before="60" w:after="60"/>
      </w:pPr>
      <w:r>
        <w:t>For each pair of models within a feature set, apply the corrected repeated k-fold cross-validation t-test (Nadeau &amp; Bengio, 2003). This test accounts for the non-independence of CV folds and is the statistically appropriate paired test for this setting.</w:t>
      </w:r>
    </w:p>
    <w:p w14:paraId="7C2026B4" w14:textId="77777777" w:rsidR="00F13065" w:rsidRDefault="00000000">
      <w:pPr>
        <w:pStyle w:val="ListParagraph"/>
        <w:numPr>
          <w:ilvl w:val="0"/>
          <w:numId w:val="2"/>
        </w:numPr>
        <w:spacing w:before="60" w:after="60"/>
      </w:pPr>
      <w:r>
        <w:t>Apply a multiple comparison correction (e.g., Holm–Bonferroni) when comparing all pairs simultaneously.</w:t>
      </w:r>
    </w:p>
    <w:p w14:paraId="7879BFCC" w14:textId="77777777" w:rsidR="00F13065" w:rsidRDefault="00000000">
      <w:pPr>
        <w:pStyle w:val="ListParagraph"/>
        <w:numPr>
          <w:ilvl w:val="0"/>
          <w:numId w:val="2"/>
        </w:numPr>
        <w:spacing w:before="60" w:after="60"/>
      </w:pPr>
      <w:r>
        <w:t>Report mean ± standard deviation of the outer test scores per model–feature set combination as the primary performance table.</w:t>
      </w:r>
    </w:p>
    <w:p w14:paraId="71BFF16A" w14:textId="77777777" w:rsidR="00F13065" w:rsidRDefault="00F13065">
      <w:pPr>
        <w:spacing w:before="120"/>
      </w:pPr>
    </w:p>
    <w:p w14:paraId="6B9D5688" w14:textId="77777777" w:rsidR="00F13065" w:rsidRDefault="00000000">
      <w:pPr>
        <w:spacing w:before="80" w:after="80"/>
      </w:pPr>
      <w:r>
        <w:t>This test answers: “Is model A significantly better than model B, accounting for variance due to data partitioning?”</w:t>
      </w:r>
    </w:p>
    <w:p w14:paraId="0E0D9652" w14:textId="77777777" w:rsidR="00F13065" w:rsidRDefault="00F13065">
      <w:pPr>
        <w:spacing w:before="120"/>
      </w:pPr>
    </w:p>
    <w:p w14:paraId="3A4C8575" w14:textId="77777777" w:rsidR="00F13065" w:rsidRDefault="00000000">
      <w:pPr>
        <w:spacing w:before="80" w:after="80"/>
      </w:pPr>
      <w:r>
        <w:t>Note on the feature set comparison at this level: the three feature sets (AE, US, Combined) are derived from the same windows and are therefore not independent replications. Treating them as independent blocks in a Friedman test would be misleading. Feature set comparisons should be interpreted as differences in information content under a fixed experimental design, not as evidence of generalization across independent conditions.</w:t>
      </w:r>
    </w:p>
    <w:p w14:paraId="24A89FCA" w14:textId="77777777" w:rsidR="00F13065" w:rsidRDefault="00F13065">
      <w:pPr>
        <w:spacing w:before="120"/>
      </w:pPr>
    </w:p>
    <w:p w14:paraId="7406CA64" w14:textId="77777777" w:rsidR="00F13065" w:rsidRDefault="00000000">
      <w:pPr>
        <w:pStyle w:val="Heading2"/>
      </w:pPr>
      <w:r>
        <w:t>3.2 Observation-Level Tests: Holdout Residual Comparisons</w:t>
      </w:r>
    </w:p>
    <w:p w14:paraId="438F5F81" w14:textId="77777777" w:rsidR="00F13065" w:rsidRDefault="00000000">
      <w:pPr>
        <w:spacing w:before="80" w:after="80"/>
      </w:pPr>
      <w:r>
        <w:lastRenderedPageBreak/>
        <w:t>The paired residuals on the fixed holdout set allow window-level comparison between models. Because each window is evaluated by all nine models simultaneously, the pairing is exact and removes window-level variance from the comparison.</w:t>
      </w:r>
    </w:p>
    <w:p w14:paraId="6E4FB765" w14:textId="77777777" w:rsidR="00F13065" w:rsidRDefault="00F13065">
      <w:pPr>
        <w:spacing w:before="120"/>
      </w:pPr>
    </w:p>
    <w:p w14:paraId="033B8E3D" w14:textId="77777777" w:rsidR="00F13065" w:rsidRDefault="00000000">
      <w:pPr>
        <w:spacing w:before="80" w:after="80"/>
      </w:pPr>
      <w:r>
        <w:t>Procedure:</w:t>
      </w:r>
    </w:p>
    <w:p w14:paraId="1ECC670B" w14:textId="77777777" w:rsidR="00F13065" w:rsidRDefault="00000000">
      <w:pPr>
        <w:pStyle w:val="ListParagraph"/>
        <w:numPr>
          <w:ilvl w:val="0"/>
          <w:numId w:val="2"/>
        </w:numPr>
        <w:spacing w:before="60" w:after="60"/>
      </w:pPr>
      <w:r>
        <w:t>For each pair of models or feature sets of interest, compute the per-window difference in absolute errors (or squared errors).</w:t>
      </w:r>
    </w:p>
    <w:p w14:paraId="2299E346" w14:textId="77777777" w:rsidR="00F13065" w:rsidRDefault="00000000">
      <w:pPr>
        <w:pStyle w:val="ListParagraph"/>
        <w:numPr>
          <w:ilvl w:val="0"/>
          <w:numId w:val="2"/>
        </w:numPr>
        <w:spacing w:before="60" w:after="60"/>
      </w:pPr>
      <w:r>
        <w:t>Apply the Wilcoxon signed-rank test (non-parametric, robust to skewed error distributions) or the Diebold–Mariano test (designed for paired forecast accuracy comparison; handles autocorrelation in the loss differential series if present).</w:t>
      </w:r>
    </w:p>
    <w:p w14:paraId="04B0A97C" w14:textId="77777777" w:rsidR="00F13065" w:rsidRDefault="00000000">
      <w:pPr>
        <w:pStyle w:val="ListParagraph"/>
        <w:numPr>
          <w:ilvl w:val="0"/>
          <w:numId w:val="2"/>
        </w:numPr>
        <w:spacing w:before="60" w:after="60"/>
      </w:pPr>
      <w:r>
        <w:t>Compute bootstrap confidence intervals (10,000 resamples) on the difference in mean RMSE between model pairs to quantify effect size and uncertainty.</w:t>
      </w:r>
    </w:p>
    <w:p w14:paraId="08629E3E" w14:textId="77777777" w:rsidR="00F13065" w:rsidRDefault="00F13065">
      <w:pPr>
        <w:spacing w:before="120"/>
      </w:pPr>
    </w:p>
    <w:p w14:paraId="4A5D59BC" w14:textId="77777777" w:rsidR="00F13065" w:rsidRDefault="00000000">
      <w:pPr>
        <w:spacing w:before="80" w:after="80"/>
      </w:pPr>
      <w:r>
        <w:t>This test answers: “On individual holdout windows, is one model systematically closer to the true κ value than another?”</w:t>
      </w:r>
    </w:p>
    <w:p w14:paraId="7A485763" w14:textId="77777777" w:rsidR="00F13065" w:rsidRDefault="00F13065">
      <w:pPr>
        <w:spacing w:before="120"/>
      </w:pPr>
    </w:p>
    <w:p w14:paraId="444D65DA" w14:textId="77777777" w:rsidR="00F13065" w:rsidRDefault="00000000">
      <w:pPr>
        <w:spacing w:before="80" w:after="80"/>
      </w:pPr>
      <w:r>
        <w:t>Comparisons of primary interest:</w:t>
      </w:r>
    </w:p>
    <w:p w14:paraId="684943D2" w14:textId="77777777" w:rsidR="00F13065" w:rsidRDefault="00F1306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320"/>
      </w:tblGrid>
      <w:tr w:rsidR="00F13065" w14:paraId="1A11D6F1" w14:textId="77777777">
        <w:tblPrEx>
          <w:tblCellMar>
            <w:top w:w="0" w:type="dxa"/>
            <w:bottom w:w="0" w:type="dxa"/>
          </w:tblCellMar>
        </w:tblPrEx>
        <w:trPr>
          <w:tblHeader/>
        </w:trPr>
        <w:tc>
          <w:tcPr>
            <w:tcW w:w="252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40" w:type="dxa"/>
              <w:bottom w:w="100" w:type="dxa"/>
              <w:right w:w="140" w:type="dxa"/>
            </w:tcMar>
          </w:tcPr>
          <w:p w14:paraId="5DBBB125" w14:textId="77777777" w:rsidR="00F13065" w:rsidRDefault="00000000">
            <w:r>
              <w:rPr>
                <w:b/>
                <w:bCs/>
                <w:color w:val="FFFFFF"/>
                <w:sz w:val="20"/>
                <w:szCs w:val="20"/>
              </w:rPr>
              <w:t>Comparison</w:t>
            </w:r>
          </w:p>
        </w:tc>
        <w:tc>
          <w:tcPr>
            <w:tcW w:w="252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40" w:type="dxa"/>
              <w:bottom w:w="100" w:type="dxa"/>
              <w:right w:w="140" w:type="dxa"/>
            </w:tcMar>
          </w:tcPr>
          <w:p w14:paraId="0487BAD4" w14:textId="77777777" w:rsidR="00F13065" w:rsidRDefault="00000000">
            <w:r>
              <w:rPr>
                <w:b/>
                <w:bCs/>
                <w:color w:val="FFFFFF"/>
                <w:sz w:val="20"/>
                <w:szCs w:val="20"/>
              </w:rPr>
              <w:t>Test</w:t>
            </w:r>
          </w:p>
        </w:tc>
        <w:tc>
          <w:tcPr>
            <w:tcW w:w="432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40" w:type="dxa"/>
              <w:bottom w:w="100" w:type="dxa"/>
              <w:right w:w="140" w:type="dxa"/>
            </w:tcMar>
          </w:tcPr>
          <w:p w14:paraId="6616F715" w14:textId="77777777" w:rsidR="00F13065" w:rsidRDefault="00000000">
            <w:r>
              <w:rPr>
                <w:b/>
                <w:bCs/>
                <w:color w:val="FFFFFF"/>
                <w:sz w:val="20"/>
                <w:szCs w:val="20"/>
              </w:rPr>
              <w:t>Question</w:t>
            </w:r>
          </w:p>
        </w:tc>
      </w:tr>
      <w:tr w:rsidR="00F13065" w14:paraId="2C9382E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96FAE1F" w14:textId="77777777" w:rsidR="00F13065" w:rsidRDefault="00000000">
            <w:r>
              <w:rPr>
                <w:sz w:val="20"/>
                <w:szCs w:val="20"/>
              </w:rPr>
              <w:t>Models within AE feature set</w:t>
            </w:r>
          </w:p>
        </w:tc>
        <w:tc>
          <w:tcPr>
            <w:tcW w:w="25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C77BB8C" w14:textId="77777777" w:rsidR="00F13065" w:rsidRDefault="00000000">
            <w:r>
              <w:rPr>
                <w:sz w:val="20"/>
                <w:szCs w:val="20"/>
              </w:rPr>
              <w:t>Corrected t-test + Wilcoxon</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862ACFE" w14:textId="77777777" w:rsidR="00F13065" w:rsidRDefault="00000000">
            <w:r>
              <w:rPr>
                <w:sz w:val="20"/>
                <w:szCs w:val="20"/>
              </w:rPr>
              <w:t xml:space="preserve">Does model architecture matter </w:t>
            </w:r>
            <w:proofErr w:type="gramStart"/>
            <w:r>
              <w:rPr>
                <w:sz w:val="20"/>
                <w:szCs w:val="20"/>
              </w:rPr>
              <w:t>given</w:t>
            </w:r>
            <w:proofErr w:type="gramEnd"/>
            <w:r>
              <w:rPr>
                <w:sz w:val="20"/>
                <w:szCs w:val="20"/>
              </w:rPr>
              <w:t xml:space="preserve"> AE features?</w:t>
            </w:r>
          </w:p>
        </w:tc>
      </w:tr>
      <w:tr w:rsidR="00F13065" w14:paraId="4E23651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11068C" w14:textId="77777777" w:rsidR="00F13065" w:rsidRDefault="00000000">
            <w:r>
              <w:rPr>
                <w:sz w:val="20"/>
                <w:szCs w:val="20"/>
              </w:rPr>
              <w:t>Models within US feature set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34F8A8" w14:textId="77777777" w:rsidR="00F13065" w:rsidRDefault="00000000">
            <w:r>
              <w:rPr>
                <w:sz w:val="20"/>
                <w:szCs w:val="20"/>
              </w:rPr>
              <w:t>Corrected t-test + Wilcoxon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343007" w14:textId="77777777" w:rsidR="00F13065" w:rsidRDefault="00000000">
            <w:r>
              <w:rPr>
                <w:sz w:val="20"/>
                <w:szCs w:val="20"/>
              </w:rPr>
              <w:t xml:space="preserve">Does model architecture matter </w:t>
            </w:r>
            <w:proofErr w:type="gramStart"/>
            <w:r>
              <w:rPr>
                <w:sz w:val="20"/>
                <w:szCs w:val="20"/>
              </w:rPr>
              <w:t>given</w:t>
            </w:r>
            <w:proofErr w:type="gramEnd"/>
            <w:r>
              <w:rPr>
                <w:sz w:val="20"/>
                <w:szCs w:val="20"/>
              </w:rPr>
              <w:t xml:space="preserve"> US features?</w:t>
            </w:r>
          </w:p>
        </w:tc>
      </w:tr>
      <w:tr w:rsidR="00F13065" w14:paraId="6354270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EE925ED" w14:textId="77777777" w:rsidR="00F13065" w:rsidRDefault="00000000">
            <w:r>
              <w:rPr>
                <w:sz w:val="20"/>
                <w:szCs w:val="20"/>
              </w:rPr>
              <w:t>Models within Combined feature set</w:t>
            </w:r>
          </w:p>
        </w:tc>
        <w:tc>
          <w:tcPr>
            <w:tcW w:w="25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160CC64" w14:textId="77777777" w:rsidR="00F13065" w:rsidRDefault="00000000">
            <w:r>
              <w:rPr>
                <w:sz w:val="20"/>
                <w:szCs w:val="20"/>
              </w:rPr>
              <w:t>Corrected t-test + Wilcoxon</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98DE342" w14:textId="77777777" w:rsidR="00F13065" w:rsidRDefault="00000000">
            <w:r>
              <w:rPr>
                <w:sz w:val="20"/>
                <w:szCs w:val="20"/>
              </w:rPr>
              <w:t xml:space="preserve">Does model architecture matter </w:t>
            </w:r>
            <w:proofErr w:type="gramStart"/>
            <w:r>
              <w:rPr>
                <w:sz w:val="20"/>
                <w:szCs w:val="20"/>
              </w:rPr>
              <w:t>given</w:t>
            </w:r>
            <w:proofErr w:type="gramEnd"/>
            <w:r>
              <w:rPr>
                <w:sz w:val="20"/>
                <w:szCs w:val="20"/>
              </w:rPr>
              <w:t xml:space="preserve"> fused features?</w:t>
            </w:r>
          </w:p>
        </w:tc>
      </w:tr>
      <w:tr w:rsidR="00F13065" w14:paraId="7058B86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6A1F65" w14:textId="77777777" w:rsidR="00F13065" w:rsidRDefault="00000000">
            <w:r>
              <w:rPr>
                <w:sz w:val="20"/>
                <w:szCs w:val="20"/>
              </w:rPr>
              <w:t>Best AE vs. Best US model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433617" w14:textId="77777777" w:rsidR="00F13065" w:rsidRDefault="00000000">
            <w:r>
              <w:rPr>
                <w:sz w:val="20"/>
                <w:szCs w:val="20"/>
              </w:rPr>
              <w:t>Wilcoxon + Diebold–Mariano + Bootstrap CI</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7EE661" w14:textId="77777777" w:rsidR="00F13065" w:rsidRDefault="00000000">
            <w:r>
              <w:rPr>
                <w:sz w:val="20"/>
                <w:szCs w:val="20"/>
              </w:rPr>
              <w:t>Does AE carry more predictive information than US?</w:t>
            </w:r>
          </w:p>
        </w:tc>
      </w:tr>
      <w:tr w:rsidR="00F13065" w14:paraId="7800FCD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6A83FB6" w14:textId="77777777" w:rsidR="00F13065" w:rsidRDefault="00000000">
            <w:r>
              <w:rPr>
                <w:sz w:val="20"/>
                <w:szCs w:val="20"/>
              </w:rPr>
              <w:t>Best AE vs. Best Combined model</w:t>
            </w:r>
          </w:p>
        </w:tc>
        <w:tc>
          <w:tcPr>
            <w:tcW w:w="25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FA0E463" w14:textId="77777777" w:rsidR="00F13065" w:rsidRDefault="00000000">
            <w:r>
              <w:rPr>
                <w:sz w:val="20"/>
                <w:szCs w:val="20"/>
              </w:rPr>
              <w:t>Wilcoxon + Diebold–Mariano + Bootstrap CI</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A667770" w14:textId="77777777" w:rsidR="00F13065" w:rsidRDefault="00000000">
            <w:r>
              <w:rPr>
                <w:sz w:val="20"/>
                <w:szCs w:val="20"/>
              </w:rPr>
              <w:t>Does sensor fusion add value over AE alone?</w:t>
            </w:r>
          </w:p>
        </w:tc>
      </w:tr>
      <w:tr w:rsidR="00F13065" w14:paraId="612A232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F0DFA8" w14:textId="77777777" w:rsidR="00F13065" w:rsidRDefault="00000000">
            <w:r>
              <w:rPr>
                <w:sz w:val="20"/>
                <w:szCs w:val="20"/>
              </w:rPr>
              <w:t>Best US vs. Best Combined model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C10D2B" w14:textId="77777777" w:rsidR="00F13065" w:rsidRDefault="00000000">
            <w:r>
              <w:rPr>
                <w:sz w:val="20"/>
                <w:szCs w:val="20"/>
              </w:rPr>
              <w:t>Wilcoxon + Diebold–Mariano + Bootstrap CI</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22FBFF" w14:textId="77777777" w:rsidR="00F13065" w:rsidRDefault="00000000">
            <w:r>
              <w:rPr>
                <w:sz w:val="20"/>
                <w:szCs w:val="20"/>
              </w:rPr>
              <w:t>Does AE add value on top of US features?</w:t>
            </w:r>
          </w:p>
        </w:tc>
      </w:tr>
    </w:tbl>
    <w:p w14:paraId="28936DE1" w14:textId="77777777" w:rsidR="00F13065" w:rsidRDefault="00F13065">
      <w:pPr>
        <w:spacing w:before="200"/>
      </w:pPr>
    </w:p>
    <w:p w14:paraId="3AEB1AFE" w14:textId="77777777" w:rsidR="00F13065" w:rsidRDefault="00000000">
      <w:pPr>
        <w:pStyle w:val="Heading2"/>
      </w:pPr>
      <w:r>
        <w:t>3.3 Reporting</w:t>
      </w:r>
    </w:p>
    <w:p w14:paraId="68775C56" w14:textId="77777777" w:rsidR="00F13065" w:rsidRDefault="00000000">
      <w:pPr>
        <w:spacing w:before="80" w:after="80"/>
      </w:pPr>
      <w:r>
        <w:t>The following elements should be reported:</w:t>
      </w:r>
    </w:p>
    <w:p w14:paraId="461E35D2" w14:textId="77777777" w:rsidR="00F13065" w:rsidRDefault="00000000">
      <w:pPr>
        <w:pStyle w:val="ListParagraph"/>
        <w:numPr>
          <w:ilvl w:val="0"/>
          <w:numId w:val="2"/>
        </w:numPr>
        <w:spacing w:before="60" w:after="60"/>
      </w:pPr>
      <w:r>
        <w:t>Main performance table: mean ± std RMSE (and/or MAE, R²) from repeated nested CV for all nine combinations, with significance markers from the corrected t-test</w:t>
      </w:r>
    </w:p>
    <w:p w14:paraId="10038652" w14:textId="77777777" w:rsidR="00F13065" w:rsidRDefault="00000000">
      <w:pPr>
        <w:pStyle w:val="ListParagraph"/>
        <w:numPr>
          <w:ilvl w:val="0"/>
          <w:numId w:val="2"/>
        </w:numPr>
        <w:spacing w:before="60" w:after="60"/>
      </w:pPr>
      <w:r>
        <w:t>Holdout results table: point estimate of RMSE on the fixed holdout per model–feature set, with pairwise p-values from Wilcoxon/Diebold–Mariano tests and bootstrap CIs on differences</w:t>
      </w:r>
    </w:p>
    <w:p w14:paraId="7244A0C6" w14:textId="77777777" w:rsidR="00F13065" w:rsidRDefault="00000000">
      <w:pPr>
        <w:pStyle w:val="ListParagraph"/>
        <w:numPr>
          <w:ilvl w:val="0"/>
          <w:numId w:val="2"/>
        </w:numPr>
        <w:spacing w:before="60" w:after="60"/>
      </w:pPr>
      <w:r>
        <w:t>Hyperparameter stability: a brief note or supplementary table showing consistency of selected hyperparameters across outer folds</w:t>
      </w:r>
    </w:p>
    <w:p w14:paraId="4DD8B37B" w14:textId="77777777" w:rsidR="00F13065" w:rsidRDefault="00000000">
      <w:pPr>
        <w:pStyle w:val="ListParagraph"/>
        <w:numPr>
          <w:ilvl w:val="0"/>
          <w:numId w:val="2"/>
        </w:numPr>
        <w:spacing w:before="60" w:after="60"/>
      </w:pPr>
      <w:r>
        <w:lastRenderedPageBreak/>
        <w:t>Limitations: all results derive from a single bearing and a single experimental session; generalization across bearings and operating conditions beyond those tested remains an open question</w:t>
      </w:r>
    </w:p>
    <w:p w14:paraId="0D6A50BA" w14:textId="77777777" w:rsidR="00F13065" w:rsidRDefault="00F13065">
      <w:pPr>
        <w:spacing w:before="200"/>
      </w:pPr>
    </w:p>
    <w:p w14:paraId="42A79748" w14:textId="77777777" w:rsidR="00F13065" w:rsidRDefault="00000000">
      <w:pPr>
        <w:pStyle w:val="Heading1"/>
      </w:pPr>
      <w:r>
        <w:t>4. Feature Importance: SHAP Analysis</w:t>
      </w:r>
    </w:p>
    <w:p w14:paraId="32638956" w14:textId="77777777" w:rsidR="00F13065" w:rsidRDefault="00F13065">
      <w:pPr>
        <w:spacing w:before="120"/>
      </w:pPr>
    </w:p>
    <w:p w14:paraId="2F987C77" w14:textId="77777777" w:rsidR="00F13065" w:rsidRDefault="00000000">
      <w:pPr>
        <w:pStyle w:val="Heading2"/>
      </w:pPr>
      <w:r>
        <w:t>4.1 Computation</w:t>
      </w:r>
    </w:p>
    <w:p w14:paraId="07EB9B01" w14:textId="77777777" w:rsidR="00F13065" w:rsidRDefault="00000000">
      <w:pPr>
        <w:spacing w:before="80" w:after="80"/>
      </w:pPr>
      <w:r>
        <w:t>SHAP (</w:t>
      </w:r>
      <w:proofErr w:type="spellStart"/>
      <w:r>
        <w:t>SHapley</w:t>
      </w:r>
      <w:proofErr w:type="spellEnd"/>
      <w:r>
        <w:t xml:space="preserve"> Additive </w:t>
      </w:r>
      <w:proofErr w:type="spellStart"/>
      <w:r>
        <w:t>exPlanations</w:t>
      </w:r>
      <w:proofErr w:type="spellEnd"/>
      <w:r>
        <w:t>) values are computed for each of the nine final models evaluated on the fixed holdout set. Using the holdout set ensures that SHAP values reflect model behaviour on unseen data and are consistent with the residual-level statistical comparisons.</w:t>
      </w:r>
    </w:p>
    <w:p w14:paraId="74A62A8F" w14:textId="77777777" w:rsidR="00F13065" w:rsidRDefault="00F13065">
      <w:pPr>
        <w:spacing w:before="120"/>
      </w:pPr>
    </w:p>
    <w:p w14:paraId="25BBAECE" w14:textId="77777777" w:rsidR="00F13065" w:rsidRDefault="00000000">
      <w:pPr>
        <w:pStyle w:val="ListParagraph"/>
        <w:numPr>
          <w:ilvl w:val="0"/>
          <w:numId w:val="2"/>
        </w:numPr>
        <w:spacing w:before="60" w:after="60"/>
      </w:pPr>
      <w:r>
        <w:t xml:space="preserve">For </w:t>
      </w:r>
      <w:proofErr w:type="spellStart"/>
      <w:r>
        <w:t>LightGBM</w:t>
      </w:r>
      <w:proofErr w:type="spellEnd"/>
      <w:r>
        <w:t xml:space="preserve">: use </w:t>
      </w:r>
      <w:proofErr w:type="spellStart"/>
      <w:r>
        <w:t>TreeExplainer</w:t>
      </w:r>
      <w:proofErr w:type="spellEnd"/>
      <w:r>
        <w:t xml:space="preserve"> (exact, computationally efficient)</w:t>
      </w:r>
    </w:p>
    <w:p w14:paraId="2C2DDC3E" w14:textId="77777777" w:rsidR="00F13065" w:rsidRDefault="00000000">
      <w:pPr>
        <w:pStyle w:val="ListParagraph"/>
        <w:numPr>
          <w:ilvl w:val="0"/>
          <w:numId w:val="2"/>
        </w:numPr>
        <w:spacing w:before="60" w:after="60"/>
      </w:pPr>
      <w:r>
        <w:t xml:space="preserve">For Elastic Net: use </w:t>
      </w:r>
      <w:proofErr w:type="spellStart"/>
      <w:r>
        <w:t>LinearExplainer</w:t>
      </w:r>
      <w:proofErr w:type="spellEnd"/>
    </w:p>
    <w:p w14:paraId="76671455" w14:textId="77777777" w:rsidR="00F13065" w:rsidRDefault="00000000">
      <w:pPr>
        <w:pStyle w:val="ListParagraph"/>
        <w:numPr>
          <w:ilvl w:val="0"/>
          <w:numId w:val="2"/>
        </w:numPr>
        <w:spacing w:before="60" w:after="60"/>
      </w:pPr>
      <w:r>
        <w:t xml:space="preserve">For Polynomial Regression: use </w:t>
      </w:r>
      <w:proofErr w:type="spellStart"/>
      <w:r>
        <w:t>LinearExplainer</w:t>
      </w:r>
      <w:proofErr w:type="spellEnd"/>
      <w:r>
        <w:t xml:space="preserve"> on the expanded feature matrix, or </w:t>
      </w:r>
      <w:proofErr w:type="spellStart"/>
      <w:r>
        <w:t>KernelExplainer</w:t>
      </w:r>
      <w:proofErr w:type="spellEnd"/>
      <w:r>
        <w:t xml:space="preserve"> if the expansion is implicit</w:t>
      </w:r>
    </w:p>
    <w:p w14:paraId="6B83EA9A" w14:textId="77777777" w:rsidR="00F13065" w:rsidRDefault="00F13065">
      <w:pPr>
        <w:spacing w:before="120"/>
      </w:pPr>
    </w:p>
    <w:p w14:paraId="3ECBFB2D" w14:textId="77777777" w:rsidR="00F13065" w:rsidRDefault="00000000">
      <w:pPr>
        <w:spacing w:before="80" w:after="80"/>
      </w:pPr>
      <w:r>
        <w:t>SHAP values are computed per window (observation-level), yielding a matrix of shape [</w:t>
      </w:r>
      <w:proofErr w:type="spellStart"/>
      <w:r>
        <w:t>n_holdout_windows</w:t>
      </w:r>
      <w:proofErr w:type="spellEnd"/>
      <w:r>
        <w:t xml:space="preserve"> × </w:t>
      </w:r>
      <w:proofErr w:type="spellStart"/>
      <w:r>
        <w:t>n_features</w:t>
      </w:r>
      <w:proofErr w:type="spellEnd"/>
      <w:r>
        <w:t>] per model.</w:t>
      </w:r>
    </w:p>
    <w:p w14:paraId="326FB01C" w14:textId="77777777" w:rsidR="00F13065" w:rsidRDefault="00F13065">
      <w:pPr>
        <w:spacing w:before="120"/>
      </w:pPr>
    </w:p>
    <w:p w14:paraId="01C3F5F2" w14:textId="77777777" w:rsidR="00F13065" w:rsidRDefault="00000000">
      <w:pPr>
        <w:pStyle w:val="Heading2"/>
      </w:pPr>
      <w:r>
        <w:t>4.2 Global Feature Importance</w:t>
      </w:r>
    </w:p>
    <w:p w14:paraId="55BEFB3C" w14:textId="77777777" w:rsidR="00F13065" w:rsidRDefault="00000000">
      <w:pPr>
        <w:spacing w:before="80" w:after="80"/>
      </w:pPr>
      <w:r>
        <w:t>For each model, global feature importance is summarised as the mean absolute SHAP value per feature across all holdout windows. This provides a ranking of feature contribution to κ prediction.</w:t>
      </w:r>
    </w:p>
    <w:p w14:paraId="1AB92117" w14:textId="77777777" w:rsidR="00F13065" w:rsidRDefault="00F13065">
      <w:pPr>
        <w:spacing w:before="120"/>
      </w:pPr>
    </w:p>
    <w:p w14:paraId="4B37363D" w14:textId="77777777" w:rsidR="00F13065" w:rsidRDefault="00000000">
      <w:pPr>
        <w:spacing w:before="80" w:after="80"/>
      </w:pPr>
      <w:r>
        <w:t>Visualisations:</w:t>
      </w:r>
    </w:p>
    <w:p w14:paraId="2028958F" w14:textId="77777777" w:rsidR="00F13065" w:rsidRDefault="00000000">
      <w:pPr>
        <w:pStyle w:val="ListParagraph"/>
        <w:numPr>
          <w:ilvl w:val="0"/>
          <w:numId w:val="2"/>
        </w:numPr>
        <w:spacing w:before="60" w:after="60"/>
      </w:pPr>
      <w:proofErr w:type="spellStart"/>
      <w:r>
        <w:t>Beeswarm</w:t>
      </w:r>
      <w:proofErr w:type="spellEnd"/>
      <w:r>
        <w:t xml:space="preserve"> (summary) plot per model — shows the distribution of SHAP values across windows for each feature, with colour encoding the feature value. Reveals directionality and spread of feature effects.</w:t>
      </w:r>
    </w:p>
    <w:p w14:paraId="4FFE48CB" w14:textId="77777777" w:rsidR="00F13065" w:rsidRDefault="00000000">
      <w:pPr>
        <w:pStyle w:val="ListParagraph"/>
        <w:numPr>
          <w:ilvl w:val="0"/>
          <w:numId w:val="2"/>
        </w:numPr>
        <w:spacing w:before="60" w:after="60"/>
      </w:pPr>
      <w:r>
        <w:t>Bar plot of mean |SHAP| per model — clean feature ranking for direct comparison</w:t>
      </w:r>
    </w:p>
    <w:p w14:paraId="693B7646" w14:textId="77777777" w:rsidR="00F13065" w:rsidRDefault="00F13065">
      <w:pPr>
        <w:spacing w:before="120"/>
      </w:pPr>
    </w:p>
    <w:p w14:paraId="2935562A" w14:textId="77777777" w:rsidR="00F13065" w:rsidRDefault="00000000">
      <w:pPr>
        <w:pStyle w:val="Heading2"/>
      </w:pPr>
      <w:r>
        <w:t>4.3 Cross-Model Feature Agreement</w:t>
      </w:r>
    </w:p>
    <w:p w14:paraId="7E3750F6" w14:textId="77777777" w:rsidR="00F13065" w:rsidRDefault="00000000">
      <w:pPr>
        <w:spacing w:before="80" w:after="80"/>
      </w:pPr>
      <w:r>
        <w:t xml:space="preserve">Within each feature set, compare whether the three model architectures (Elastic Net, Polynomial Regression, </w:t>
      </w:r>
      <w:proofErr w:type="spellStart"/>
      <w:r>
        <w:t>LightGBM</w:t>
      </w:r>
      <w:proofErr w:type="spellEnd"/>
      <w:r>
        <w:t>) agree on which features are most important. Agreement strengthens confidence that a feature is genuinely informative about κ rather than an artefact of one model’s inductive bias.</w:t>
      </w:r>
    </w:p>
    <w:p w14:paraId="2B29E70D" w14:textId="77777777" w:rsidR="00F13065" w:rsidRDefault="00F13065">
      <w:pPr>
        <w:spacing w:before="120"/>
      </w:pPr>
    </w:p>
    <w:p w14:paraId="0191B6F7" w14:textId="77777777" w:rsidR="00F13065" w:rsidRDefault="00000000">
      <w:pPr>
        <w:spacing w:before="80" w:after="80"/>
      </w:pPr>
      <w:r>
        <w:t>Report a cross-model agreement table showing the top-k features (e.g., k = 5 or 10) per model within each feature set, with a column indicating how many models rank that feature in their top-k.</w:t>
      </w:r>
    </w:p>
    <w:p w14:paraId="4E24E205" w14:textId="77777777" w:rsidR="00F13065" w:rsidRDefault="00F13065">
      <w:pPr>
        <w:spacing w:before="120"/>
      </w:pPr>
    </w:p>
    <w:p w14:paraId="77FFADCF" w14:textId="77777777" w:rsidR="00F13065" w:rsidRDefault="00000000">
      <w:pPr>
        <w:pStyle w:val="Heading2"/>
      </w:pPr>
      <w:r>
        <w:lastRenderedPageBreak/>
        <w:t>4.4 Cross-Feature-Set Sensor Contribution Analysis</w:t>
      </w:r>
    </w:p>
    <w:p w14:paraId="26BBDB42" w14:textId="77777777" w:rsidR="00F13065" w:rsidRDefault="00000000">
      <w:pPr>
        <w:spacing w:before="80" w:after="80"/>
      </w:pPr>
      <w:r>
        <w:t>For the combined (AE + US) model, the SHAP ranking directly reveals which sensor modality contributes more to predictions. Features should be colour-coded or grouped by sensor origin (AE vs. US) in all visualisations.</w:t>
      </w:r>
    </w:p>
    <w:p w14:paraId="0FD72C9A" w14:textId="77777777" w:rsidR="00F13065" w:rsidRDefault="00F13065">
      <w:pPr>
        <w:spacing w:before="120"/>
      </w:pPr>
    </w:p>
    <w:p w14:paraId="4CD6B735" w14:textId="77777777" w:rsidR="00F13065" w:rsidRDefault="00000000">
      <w:pPr>
        <w:spacing w:before="80" w:after="80"/>
      </w:pPr>
      <w:r>
        <w:t>Key comparisons:</w:t>
      </w:r>
    </w:p>
    <w:p w14:paraId="643F4CFC" w14:textId="77777777" w:rsidR="00F13065" w:rsidRDefault="00000000">
      <w:pPr>
        <w:pStyle w:val="ListParagraph"/>
        <w:numPr>
          <w:ilvl w:val="0"/>
          <w:numId w:val="2"/>
        </w:numPr>
        <w:spacing w:before="60" w:after="60"/>
      </w:pPr>
      <w:r>
        <w:t>Does the combined model lean predominantly on AE features, US features, or both?</w:t>
      </w:r>
    </w:p>
    <w:p w14:paraId="6B794C7E" w14:textId="77777777" w:rsidR="00F13065" w:rsidRDefault="00000000">
      <w:pPr>
        <w:pStyle w:val="ListParagraph"/>
        <w:numPr>
          <w:ilvl w:val="0"/>
          <w:numId w:val="2"/>
        </w:numPr>
        <w:spacing w:before="60" w:after="60"/>
      </w:pPr>
      <w:r>
        <w:t>Do the top AE features in the combined model match the top features in the AE-only model? Divergence suggests interaction effects between modalities.</w:t>
      </w:r>
    </w:p>
    <w:p w14:paraId="27785BA9" w14:textId="77777777" w:rsidR="00F13065" w:rsidRDefault="00000000">
      <w:pPr>
        <w:pStyle w:val="ListParagraph"/>
        <w:numPr>
          <w:ilvl w:val="0"/>
          <w:numId w:val="2"/>
        </w:numPr>
        <w:spacing w:before="60" w:after="60"/>
      </w:pPr>
      <w:r>
        <w:t>Do the top US features in the combined model match the top features in the US-only model?</w:t>
      </w:r>
    </w:p>
    <w:p w14:paraId="4F612CCC" w14:textId="77777777" w:rsidR="00F13065" w:rsidRDefault="00F13065">
      <w:pPr>
        <w:spacing w:before="120"/>
      </w:pPr>
    </w:p>
    <w:p w14:paraId="5E00761C" w14:textId="77777777" w:rsidR="00F13065" w:rsidRDefault="00000000">
      <w:pPr>
        <w:spacing w:before="80" w:after="80"/>
      </w:pPr>
      <w:r>
        <w:t>Note on cross-feature-set SHAP magnitude comparison: SHAP values are not directly comparable in magnitude across models trained on different feature sets, as the baseline predictions differ. Comparisons across feature sets should be framed in terms of feature rankings rather than absolute SHAP magnitudes, unless values are explicitly normalised.</w:t>
      </w:r>
    </w:p>
    <w:p w14:paraId="52BFEE81" w14:textId="77777777" w:rsidR="00F13065" w:rsidRDefault="00F13065">
      <w:pPr>
        <w:spacing w:before="120"/>
      </w:pPr>
    </w:p>
    <w:p w14:paraId="282DBF01" w14:textId="77777777" w:rsidR="00F13065" w:rsidRDefault="00000000">
      <w:pPr>
        <w:pStyle w:val="Heading2"/>
      </w:pPr>
      <w:r>
        <w:t>4.5 Operating Condition Stratification</w:t>
      </w:r>
    </w:p>
    <w:p w14:paraId="7E0551AA" w14:textId="77777777" w:rsidR="00F13065" w:rsidRDefault="00000000">
      <w:pPr>
        <w:spacing w:before="80" w:after="80"/>
      </w:pPr>
      <w:r>
        <w:t>Because windows are collected under different operating conditions (RPM, temperature), it is informative to examine whether feature importance is stable across conditions or whether certain features are only important under specific operating regimes. SHAP dependence plots, coloured by operating condition, can reveal such interactions without requiring condition information to be included in the model.</w:t>
      </w:r>
    </w:p>
    <w:p w14:paraId="2D1AF1D4" w14:textId="77777777" w:rsidR="00F13065" w:rsidRDefault="00F13065">
      <w:pPr>
        <w:spacing w:before="200"/>
      </w:pPr>
    </w:p>
    <w:p w14:paraId="7DBC0A49" w14:textId="77777777" w:rsidR="00F13065" w:rsidRDefault="00000000">
      <w:pPr>
        <w:pStyle w:val="Heading1"/>
      </w:pPr>
      <w:r>
        <w:t>5. Summary of Analyses</w:t>
      </w:r>
    </w:p>
    <w:p w14:paraId="31E37C2B" w14:textId="77777777" w:rsidR="00F13065" w:rsidRDefault="00F130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520"/>
        <w:gridCol w:w="1800"/>
        <w:gridCol w:w="2880"/>
      </w:tblGrid>
      <w:tr w:rsidR="00F13065" w14:paraId="291D5DD4" w14:textId="77777777">
        <w:tblPrEx>
          <w:tblCellMar>
            <w:top w:w="0" w:type="dxa"/>
            <w:bottom w:w="0" w:type="dxa"/>
          </w:tblCellMar>
        </w:tblPrEx>
        <w:trPr>
          <w:tblHeader/>
        </w:trPr>
        <w:tc>
          <w:tcPr>
            <w:tcW w:w="216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40" w:type="dxa"/>
              <w:bottom w:w="100" w:type="dxa"/>
              <w:right w:w="140" w:type="dxa"/>
            </w:tcMar>
          </w:tcPr>
          <w:p w14:paraId="7F1F5BF4" w14:textId="77777777" w:rsidR="00F13065" w:rsidRDefault="00000000">
            <w:r>
              <w:rPr>
                <w:b/>
                <w:bCs/>
                <w:color w:val="FFFFFF"/>
                <w:sz w:val="20"/>
                <w:szCs w:val="20"/>
              </w:rPr>
              <w:t>Analysis</w:t>
            </w:r>
          </w:p>
        </w:tc>
        <w:tc>
          <w:tcPr>
            <w:tcW w:w="252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40" w:type="dxa"/>
              <w:bottom w:w="100" w:type="dxa"/>
              <w:right w:w="140" w:type="dxa"/>
            </w:tcMar>
          </w:tcPr>
          <w:p w14:paraId="711793C7" w14:textId="77777777" w:rsidR="00F13065" w:rsidRDefault="00000000">
            <w:r>
              <w:rPr>
                <w:b/>
                <w:bCs/>
                <w:color w:val="FFFFFF"/>
                <w:sz w:val="20"/>
                <w:szCs w:val="20"/>
              </w:rPr>
              <w:t>Method</w:t>
            </w:r>
          </w:p>
        </w:tc>
        <w:tc>
          <w:tcPr>
            <w:tcW w:w="180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40" w:type="dxa"/>
              <w:bottom w:w="100" w:type="dxa"/>
              <w:right w:w="140" w:type="dxa"/>
            </w:tcMar>
          </w:tcPr>
          <w:p w14:paraId="308D281D" w14:textId="77777777" w:rsidR="00F13065" w:rsidRDefault="00000000">
            <w:r>
              <w:rPr>
                <w:b/>
                <w:bCs/>
                <w:color w:val="FFFFFF"/>
                <w:sz w:val="20"/>
                <w:szCs w:val="20"/>
              </w:rPr>
              <w:t>Data Source</w:t>
            </w:r>
          </w:p>
        </w:tc>
        <w:tc>
          <w:tcPr>
            <w:tcW w:w="288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40" w:type="dxa"/>
              <w:bottom w:w="100" w:type="dxa"/>
              <w:right w:w="140" w:type="dxa"/>
            </w:tcMar>
          </w:tcPr>
          <w:p w14:paraId="3248ACE3" w14:textId="77777777" w:rsidR="00F13065" w:rsidRDefault="00000000">
            <w:r>
              <w:rPr>
                <w:b/>
                <w:bCs/>
                <w:color w:val="FFFFFF"/>
                <w:sz w:val="20"/>
                <w:szCs w:val="20"/>
              </w:rPr>
              <w:t>Question Addressed</w:t>
            </w:r>
          </w:p>
        </w:tc>
      </w:tr>
      <w:tr w:rsidR="00F13065" w14:paraId="75A6FFB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6A54DED" w14:textId="77777777" w:rsidR="00F13065" w:rsidRDefault="00000000">
            <w:r>
              <w:rPr>
                <w:sz w:val="20"/>
                <w:szCs w:val="20"/>
              </w:rPr>
              <w:t>Performance estimation</w:t>
            </w:r>
          </w:p>
        </w:tc>
        <w:tc>
          <w:tcPr>
            <w:tcW w:w="25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EAB7AFA" w14:textId="77777777" w:rsidR="00F13065" w:rsidRDefault="00000000">
            <w:r>
              <w:rPr>
                <w:sz w:val="20"/>
                <w:szCs w:val="20"/>
              </w:rPr>
              <w:t>Repeated nested CV (R × k outer scores)</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399A8A7" w14:textId="77777777" w:rsidR="00F13065" w:rsidRDefault="00000000">
            <w:r>
              <w:rPr>
                <w:sz w:val="20"/>
                <w:szCs w:val="20"/>
              </w:rPr>
              <w:t>Training pool</w:t>
            </w:r>
          </w:p>
        </w:tc>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8E7F4CB" w14:textId="77777777" w:rsidR="00F13065" w:rsidRDefault="00000000">
            <w:r>
              <w:rPr>
                <w:sz w:val="20"/>
                <w:szCs w:val="20"/>
              </w:rPr>
              <w:t>How well does each model generalise to unseen partitions?</w:t>
            </w:r>
          </w:p>
        </w:tc>
      </w:tr>
      <w:tr w:rsidR="00F13065" w14:paraId="34C5753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ABEB2A" w14:textId="77777777" w:rsidR="00F13065" w:rsidRDefault="00000000">
            <w:r>
              <w:rPr>
                <w:sz w:val="20"/>
                <w:szCs w:val="20"/>
              </w:rPr>
              <w:t>Partition-level significance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697736" w14:textId="77777777" w:rsidR="00F13065" w:rsidRDefault="00000000">
            <w:r>
              <w:rPr>
                <w:sz w:val="20"/>
                <w:szCs w:val="20"/>
              </w:rPr>
              <w:t>Corrected repeated k-fold t-test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0F1B00" w14:textId="77777777" w:rsidR="00F13065" w:rsidRDefault="00000000">
            <w:r>
              <w:rPr>
                <w:sz w:val="20"/>
                <w:szCs w:val="20"/>
              </w:rPr>
              <w:t>CV score distributions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8B944E" w14:textId="77777777" w:rsidR="00F13065" w:rsidRDefault="00000000">
            <w:r>
              <w:rPr>
                <w:sz w:val="20"/>
                <w:szCs w:val="20"/>
              </w:rPr>
              <w:t>Are performance differences stable across data splits?</w:t>
            </w:r>
          </w:p>
        </w:tc>
      </w:tr>
      <w:tr w:rsidR="00F13065" w14:paraId="05228AE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62E82A5" w14:textId="77777777" w:rsidR="00F13065" w:rsidRDefault="00000000">
            <w:r>
              <w:rPr>
                <w:sz w:val="20"/>
                <w:szCs w:val="20"/>
              </w:rPr>
              <w:t>Observation-level significance</w:t>
            </w:r>
          </w:p>
        </w:tc>
        <w:tc>
          <w:tcPr>
            <w:tcW w:w="25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156A83F" w14:textId="77777777" w:rsidR="00F13065" w:rsidRDefault="00000000">
            <w:r>
              <w:rPr>
                <w:sz w:val="20"/>
                <w:szCs w:val="20"/>
              </w:rPr>
              <w:t>Wilcoxon signed-rank / Diebold–Mariano</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481241F" w14:textId="77777777" w:rsidR="00F13065" w:rsidRDefault="00000000">
            <w:r>
              <w:rPr>
                <w:sz w:val="20"/>
                <w:szCs w:val="20"/>
              </w:rPr>
              <w:t>Holdout residuals</w:t>
            </w:r>
          </w:p>
        </w:tc>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9538BAF" w14:textId="77777777" w:rsidR="00F13065" w:rsidRDefault="00000000">
            <w:r>
              <w:rPr>
                <w:sz w:val="20"/>
                <w:szCs w:val="20"/>
              </w:rPr>
              <w:t>Are differences systematic at the window level?</w:t>
            </w:r>
          </w:p>
        </w:tc>
      </w:tr>
      <w:tr w:rsidR="00F13065" w14:paraId="27FD367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384B1D" w14:textId="77777777" w:rsidR="00F13065" w:rsidRDefault="00000000">
            <w:r>
              <w:rPr>
                <w:sz w:val="20"/>
                <w:szCs w:val="20"/>
              </w:rPr>
              <w:t>Effect size quantification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A66709" w14:textId="77777777" w:rsidR="00F13065" w:rsidRDefault="00000000">
            <w:r>
              <w:rPr>
                <w:sz w:val="20"/>
                <w:szCs w:val="20"/>
              </w:rPr>
              <w:t>Bootstrap CI on metric difference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CB9365" w14:textId="77777777" w:rsidR="00F13065" w:rsidRDefault="00000000">
            <w:r>
              <w:rPr>
                <w:sz w:val="20"/>
                <w:szCs w:val="20"/>
              </w:rPr>
              <w:t>Holdout residuals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E25C57" w14:textId="77777777" w:rsidR="00F13065" w:rsidRDefault="00000000">
            <w:r>
              <w:rPr>
                <w:sz w:val="20"/>
                <w:szCs w:val="20"/>
              </w:rPr>
              <w:t>How large are the differences between models/feature sets?</w:t>
            </w:r>
          </w:p>
        </w:tc>
      </w:tr>
      <w:tr w:rsidR="00F13065" w14:paraId="2DAD31B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8206527" w14:textId="77777777" w:rsidR="00F13065" w:rsidRDefault="00000000">
            <w:r>
              <w:rPr>
                <w:sz w:val="20"/>
                <w:szCs w:val="20"/>
              </w:rPr>
              <w:t>Global feature importance</w:t>
            </w:r>
          </w:p>
        </w:tc>
        <w:tc>
          <w:tcPr>
            <w:tcW w:w="25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DD559CA" w14:textId="77777777" w:rsidR="00F13065" w:rsidRDefault="00000000">
            <w:r>
              <w:rPr>
                <w:sz w:val="20"/>
                <w:szCs w:val="20"/>
              </w:rPr>
              <w:t>Mean |SHAP| per feature</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CE2854F" w14:textId="77777777" w:rsidR="00F13065" w:rsidRDefault="00000000">
            <w:r>
              <w:rPr>
                <w:sz w:val="20"/>
                <w:szCs w:val="20"/>
              </w:rPr>
              <w:t>Holdout set</w:t>
            </w:r>
          </w:p>
        </w:tc>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920E2E4" w14:textId="77777777" w:rsidR="00F13065" w:rsidRDefault="00000000">
            <w:r>
              <w:rPr>
                <w:sz w:val="20"/>
                <w:szCs w:val="20"/>
              </w:rPr>
              <w:t>Which features drive κ prediction?</w:t>
            </w:r>
          </w:p>
        </w:tc>
      </w:tr>
      <w:tr w:rsidR="00F13065" w14:paraId="61D74F8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5876F1" w14:textId="77777777" w:rsidR="00F13065" w:rsidRDefault="00000000">
            <w:r>
              <w:rPr>
                <w:sz w:val="20"/>
                <w:szCs w:val="20"/>
              </w:rPr>
              <w:t>Cross-model feature agreement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D7F05E" w14:textId="77777777" w:rsidR="00F13065" w:rsidRDefault="00000000">
            <w:r>
              <w:rPr>
                <w:sz w:val="20"/>
                <w:szCs w:val="20"/>
              </w:rPr>
              <w:t>Top-k feature overlap 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2D0072" w14:textId="77777777" w:rsidR="00F13065" w:rsidRDefault="00000000">
            <w:r>
              <w:rPr>
                <w:sz w:val="20"/>
                <w:szCs w:val="20"/>
              </w:rPr>
              <w:t>Holdout set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76D507" w14:textId="77777777" w:rsidR="00F13065" w:rsidRDefault="00000000">
            <w:r>
              <w:rPr>
                <w:sz w:val="20"/>
                <w:szCs w:val="20"/>
              </w:rPr>
              <w:t>Do architectures agree on informative features?</w:t>
            </w:r>
          </w:p>
        </w:tc>
      </w:tr>
      <w:tr w:rsidR="00F13065" w14:paraId="443B7F8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C139E2E" w14:textId="77777777" w:rsidR="00F13065" w:rsidRDefault="00000000">
            <w:r>
              <w:rPr>
                <w:sz w:val="20"/>
                <w:szCs w:val="20"/>
              </w:rPr>
              <w:lastRenderedPageBreak/>
              <w:t>Sensor contribution (combined)</w:t>
            </w:r>
          </w:p>
        </w:tc>
        <w:tc>
          <w:tcPr>
            <w:tcW w:w="25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7A808E7" w14:textId="77777777" w:rsidR="00F13065" w:rsidRDefault="00000000">
            <w:r>
              <w:rPr>
                <w:sz w:val="20"/>
                <w:szCs w:val="20"/>
              </w:rPr>
              <w:t>SHAP grouped by AE vs. US</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46A569E" w14:textId="77777777" w:rsidR="00F13065" w:rsidRDefault="00000000">
            <w:r>
              <w:rPr>
                <w:sz w:val="20"/>
                <w:szCs w:val="20"/>
              </w:rPr>
              <w:t>Holdout set</w:t>
            </w:r>
          </w:p>
        </w:tc>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E89B6ED" w14:textId="77777777" w:rsidR="00F13065" w:rsidRDefault="00000000">
            <w:r>
              <w:rPr>
                <w:sz w:val="20"/>
                <w:szCs w:val="20"/>
              </w:rPr>
              <w:t xml:space="preserve">Does fusion rely on both sensors </w:t>
            </w:r>
            <w:proofErr w:type="gramStart"/>
            <w:r>
              <w:rPr>
                <w:sz w:val="20"/>
                <w:szCs w:val="20"/>
              </w:rPr>
              <w:t>or</w:t>
            </w:r>
            <w:proofErr w:type="gramEnd"/>
            <w:r>
              <w:rPr>
                <w:sz w:val="20"/>
                <w:szCs w:val="20"/>
              </w:rPr>
              <w:t xml:space="preserve"> one dominates?</w:t>
            </w:r>
          </w:p>
        </w:tc>
      </w:tr>
    </w:tbl>
    <w:p w14:paraId="399871A7" w14:textId="77777777" w:rsidR="00F13065" w:rsidRDefault="00F13065">
      <w:pPr>
        <w:spacing w:before="300"/>
      </w:pPr>
    </w:p>
    <w:p w14:paraId="284CE711" w14:textId="77777777" w:rsidR="00F13065" w:rsidRDefault="00000000">
      <w:pPr>
        <w:pBdr>
          <w:top w:val="single" w:sz="4" w:space="1" w:color="CCCCCC"/>
        </w:pBdr>
        <w:spacing w:before="240" w:after="80"/>
      </w:pPr>
      <w:r>
        <w:rPr>
          <w:b/>
          <w:bCs/>
          <w:color w:val="1A3A5C"/>
          <w:sz w:val="24"/>
          <w:szCs w:val="24"/>
        </w:rPr>
        <w:t>Key References</w:t>
      </w:r>
    </w:p>
    <w:p w14:paraId="29493106" w14:textId="77777777" w:rsidR="00F13065" w:rsidRDefault="00000000">
      <w:pPr>
        <w:spacing w:before="80" w:after="80"/>
      </w:pPr>
      <w:r>
        <w:t>Nadeau, C., &amp; Bengio, Y. (2003). Inference for the generalization error. Machine Learning, 52(3), 239–281.</w:t>
      </w:r>
    </w:p>
    <w:p w14:paraId="77EA6F58" w14:textId="77777777" w:rsidR="00F13065" w:rsidRDefault="00000000">
      <w:pPr>
        <w:spacing w:before="80" w:after="80"/>
      </w:pPr>
      <w:r>
        <w:t>Demšar, J. (2006). Statistical comparisons of classifiers over multiple data sets. Journal of Machine Learning Research, 7, 1–30.</w:t>
      </w:r>
    </w:p>
    <w:p w14:paraId="77BE7DB3" w14:textId="77777777" w:rsidR="00F13065" w:rsidRDefault="00000000">
      <w:pPr>
        <w:spacing w:before="80" w:after="80"/>
      </w:pPr>
      <w:r>
        <w:t>Diebold, F. X., &amp; Mariano, R. S. (1995). Comparing predictive accuracy. Journal of Business &amp; Economic Statistics, 13(3), 253–263.</w:t>
      </w:r>
    </w:p>
    <w:p w14:paraId="61E92A3F" w14:textId="77777777" w:rsidR="00F13065" w:rsidRDefault="00000000">
      <w:pPr>
        <w:spacing w:before="80" w:after="80"/>
      </w:pPr>
      <w:r>
        <w:t>Lundberg, S. M., &amp; Lee, S. I. (2017). A unified approach to interpreting model predictions. Advances in Neural Information Processing Systems, 30.</w:t>
      </w:r>
    </w:p>
    <w:sectPr w:rsidR="00F1306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1F9D0" w14:textId="77777777" w:rsidR="00363565" w:rsidRDefault="00363565">
      <w:r>
        <w:separator/>
      </w:r>
    </w:p>
  </w:endnote>
  <w:endnote w:type="continuationSeparator" w:id="0">
    <w:p w14:paraId="1D5B03FA" w14:textId="77777777" w:rsidR="00363565" w:rsidRDefault="00363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C4EE" w14:textId="77777777" w:rsidR="00F13065"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B201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B201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4FD71" w14:textId="77777777" w:rsidR="00363565" w:rsidRDefault="00363565">
      <w:r>
        <w:separator/>
      </w:r>
    </w:p>
  </w:footnote>
  <w:footnote w:type="continuationSeparator" w:id="0">
    <w:p w14:paraId="7960050B" w14:textId="77777777" w:rsidR="00363565" w:rsidRDefault="00363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52BD2"/>
    <w:multiLevelType w:val="hybridMultilevel"/>
    <w:tmpl w:val="94E0EE02"/>
    <w:lvl w:ilvl="0" w:tplc="740C5392">
      <w:start w:val="1"/>
      <w:numFmt w:val="bullet"/>
      <w:lvlText w:val="•"/>
      <w:lvlJc w:val="left"/>
      <w:pPr>
        <w:ind w:left="720" w:hanging="360"/>
      </w:pPr>
    </w:lvl>
    <w:lvl w:ilvl="1" w:tplc="7D78D764">
      <w:start w:val="1"/>
      <w:numFmt w:val="bullet"/>
      <w:lvlText w:val="◦"/>
      <w:lvlJc w:val="left"/>
      <w:pPr>
        <w:ind w:left="1080" w:hanging="360"/>
      </w:pPr>
    </w:lvl>
    <w:lvl w:ilvl="2" w:tplc="BD003322">
      <w:numFmt w:val="decimal"/>
      <w:lvlText w:val=""/>
      <w:lvlJc w:val="left"/>
    </w:lvl>
    <w:lvl w:ilvl="3" w:tplc="07F6D1F0">
      <w:numFmt w:val="decimal"/>
      <w:lvlText w:val=""/>
      <w:lvlJc w:val="left"/>
    </w:lvl>
    <w:lvl w:ilvl="4" w:tplc="8EEA20C8">
      <w:numFmt w:val="decimal"/>
      <w:lvlText w:val=""/>
      <w:lvlJc w:val="left"/>
    </w:lvl>
    <w:lvl w:ilvl="5" w:tplc="0CB496D6">
      <w:numFmt w:val="decimal"/>
      <w:lvlText w:val=""/>
      <w:lvlJc w:val="left"/>
    </w:lvl>
    <w:lvl w:ilvl="6" w:tplc="179AE86E">
      <w:numFmt w:val="decimal"/>
      <w:lvlText w:val=""/>
      <w:lvlJc w:val="left"/>
    </w:lvl>
    <w:lvl w:ilvl="7" w:tplc="67D820D6">
      <w:numFmt w:val="decimal"/>
      <w:lvlText w:val=""/>
      <w:lvlJc w:val="left"/>
    </w:lvl>
    <w:lvl w:ilvl="8" w:tplc="2584909C">
      <w:numFmt w:val="decimal"/>
      <w:lvlText w:val=""/>
      <w:lvlJc w:val="left"/>
    </w:lvl>
  </w:abstractNum>
  <w:abstractNum w:abstractNumId="1" w15:restartNumberingAfterBreak="0">
    <w:nsid w:val="269F4A10"/>
    <w:multiLevelType w:val="hybridMultilevel"/>
    <w:tmpl w:val="38B00706"/>
    <w:lvl w:ilvl="0" w:tplc="A98E5234">
      <w:start w:val="1"/>
      <w:numFmt w:val="bullet"/>
      <w:lvlText w:val="●"/>
      <w:lvlJc w:val="left"/>
      <w:pPr>
        <w:ind w:left="720" w:hanging="360"/>
      </w:pPr>
    </w:lvl>
    <w:lvl w:ilvl="1" w:tplc="F83807DA">
      <w:start w:val="1"/>
      <w:numFmt w:val="bullet"/>
      <w:lvlText w:val="○"/>
      <w:lvlJc w:val="left"/>
      <w:pPr>
        <w:ind w:left="1440" w:hanging="360"/>
      </w:pPr>
    </w:lvl>
    <w:lvl w:ilvl="2" w:tplc="8B56084C">
      <w:start w:val="1"/>
      <w:numFmt w:val="bullet"/>
      <w:lvlText w:val="■"/>
      <w:lvlJc w:val="left"/>
      <w:pPr>
        <w:ind w:left="2160" w:hanging="360"/>
      </w:pPr>
    </w:lvl>
    <w:lvl w:ilvl="3" w:tplc="B88EC814">
      <w:start w:val="1"/>
      <w:numFmt w:val="bullet"/>
      <w:lvlText w:val="●"/>
      <w:lvlJc w:val="left"/>
      <w:pPr>
        <w:ind w:left="2880" w:hanging="360"/>
      </w:pPr>
    </w:lvl>
    <w:lvl w:ilvl="4" w:tplc="4148D43E">
      <w:start w:val="1"/>
      <w:numFmt w:val="bullet"/>
      <w:lvlText w:val="○"/>
      <w:lvlJc w:val="left"/>
      <w:pPr>
        <w:ind w:left="3600" w:hanging="360"/>
      </w:pPr>
    </w:lvl>
    <w:lvl w:ilvl="5" w:tplc="DAAEDAF8">
      <w:start w:val="1"/>
      <w:numFmt w:val="bullet"/>
      <w:lvlText w:val="■"/>
      <w:lvlJc w:val="left"/>
      <w:pPr>
        <w:ind w:left="4320" w:hanging="360"/>
      </w:pPr>
    </w:lvl>
    <w:lvl w:ilvl="6" w:tplc="D522F422">
      <w:start w:val="1"/>
      <w:numFmt w:val="bullet"/>
      <w:lvlText w:val="●"/>
      <w:lvlJc w:val="left"/>
      <w:pPr>
        <w:ind w:left="5040" w:hanging="360"/>
      </w:pPr>
    </w:lvl>
    <w:lvl w:ilvl="7" w:tplc="77F445A0">
      <w:start w:val="1"/>
      <w:numFmt w:val="bullet"/>
      <w:lvlText w:val="●"/>
      <w:lvlJc w:val="left"/>
      <w:pPr>
        <w:ind w:left="5760" w:hanging="360"/>
      </w:pPr>
    </w:lvl>
    <w:lvl w:ilvl="8" w:tplc="602CE71C">
      <w:start w:val="1"/>
      <w:numFmt w:val="bullet"/>
      <w:lvlText w:val="●"/>
      <w:lvlJc w:val="left"/>
      <w:pPr>
        <w:ind w:left="6480" w:hanging="360"/>
      </w:pPr>
    </w:lvl>
  </w:abstractNum>
  <w:abstractNum w:abstractNumId="2" w15:restartNumberingAfterBreak="0">
    <w:nsid w:val="50AD3487"/>
    <w:multiLevelType w:val="hybridMultilevel"/>
    <w:tmpl w:val="DF3A2E16"/>
    <w:lvl w:ilvl="0" w:tplc="52CE39D6">
      <w:start w:val="1"/>
      <w:numFmt w:val="decimal"/>
      <w:lvlText w:val="%1."/>
      <w:lvlJc w:val="left"/>
      <w:pPr>
        <w:ind w:left="720" w:hanging="360"/>
      </w:pPr>
    </w:lvl>
    <w:lvl w:ilvl="1" w:tplc="544C6F6A">
      <w:numFmt w:val="decimal"/>
      <w:lvlText w:val=""/>
      <w:lvlJc w:val="left"/>
    </w:lvl>
    <w:lvl w:ilvl="2" w:tplc="90AE0828">
      <w:numFmt w:val="decimal"/>
      <w:lvlText w:val=""/>
      <w:lvlJc w:val="left"/>
    </w:lvl>
    <w:lvl w:ilvl="3" w:tplc="44A4D724">
      <w:numFmt w:val="decimal"/>
      <w:lvlText w:val=""/>
      <w:lvlJc w:val="left"/>
    </w:lvl>
    <w:lvl w:ilvl="4" w:tplc="3E9A0D28">
      <w:numFmt w:val="decimal"/>
      <w:lvlText w:val=""/>
      <w:lvlJc w:val="left"/>
    </w:lvl>
    <w:lvl w:ilvl="5" w:tplc="2020EDCA">
      <w:numFmt w:val="decimal"/>
      <w:lvlText w:val=""/>
      <w:lvlJc w:val="left"/>
    </w:lvl>
    <w:lvl w:ilvl="6" w:tplc="1486B0B2">
      <w:numFmt w:val="decimal"/>
      <w:lvlText w:val=""/>
      <w:lvlJc w:val="left"/>
    </w:lvl>
    <w:lvl w:ilvl="7" w:tplc="2A16F256">
      <w:numFmt w:val="decimal"/>
      <w:lvlText w:val=""/>
      <w:lvlJc w:val="left"/>
    </w:lvl>
    <w:lvl w:ilvl="8" w:tplc="63145604">
      <w:numFmt w:val="decimal"/>
      <w:lvlText w:val=""/>
      <w:lvlJc w:val="left"/>
    </w:lvl>
  </w:abstractNum>
  <w:num w:numId="1" w16cid:durableId="1314988691">
    <w:abstractNumId w:val="1"/>
    <w:lvlOverride w:ilvl="0">
      <w:startOverride w:val="1"/>
    </w:lvlOverride>
  </w:num>
  <w:num w:numId="2" w16cid:durableId="7758337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065"/>
    <w:rsid w:val="00363565"/>
    <w:rsid w:val="00550FD1"/>
    <w:rsid w:val="00BB2016"/>
    <w:rsid w:val="00F13065"/>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53B6D"/>
  <w15:docId w15:val="{93455D44-12F6-4B56-BBCF-70F0DBC1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K" w:eastAsia="en-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C5F8A"/>
      <w:sz w:val="32"/>
      <w:szCs w:val="32"/>
    </w:rPr>
  </w:style>
  <w:style w:type="paragraph" w:styleId="Heading2">
    <w:name w:val="heading 2"/>
    <w:uiPriority w:val="9"/>
    <w:unhideWhenUsed/>
    <w:qFormat/>
    <w:pPr>
      <w:spacing w:before="280" w:after="120"/>
      <w:outlineLvl w:val="1"/>
    </w:pPr>
    <w:rPr>
      <w:b/>
      <w:bCs/>
      <w:color w:val="1A3A5C"/>
      <w:sz w:val="26"/>
      <w:szCs w:val="26"/>
    </w:rPr>
  </w:style>
  <w:style w:type="paragraph" w:styleId="Heading3">
    <w:name w:val="heading 3"/>
    <w:uiPriority w:val="9"/>
    <w:semiHidden/>
    <w:unhideWhenUsed/>
    <w:qFormat/>
    <w:pPr>
      <w:spacing w:before="200" w:after="100"/>
      <w:outlineLvl w:val="2"/>
    </w:pPr>
    <w:rPr>
      <w:b/>
      <w:bCs/>
      <w:color w:val="2C5F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1942</Words>
  <Characters>11073</Characters>
  <Application>Microsoft Office Word</Application>
  <DocSecurity>0</DocSecurity>
  <Lines>92</Lines>
  <Paragraphs>25</Paragraphs>
  <ScaleCrop>false</ScaleCrop>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Frederik Appel Vardinghus-Nielsen</cp:lastModifiedBy>
  <cp:revision>3</cp:revision>
  <dcterms:created xsi:type="dcterms:W3CDTF">2026-05-11T12:43:00Z</dcterms:created>
  <dcterms:modified xsi:type="dcterms:W3CDTF">2026-05-12T08:22:00Z</dcterms:modified>
</cp:coreProperties>
</file>