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48"/>
          <w:szCs w:val="48"/>
        </w:rPr>
        <w:t xml:space="preserve">Publication Assessment</w:t>
      </w:r>
    </w:p>
    <w:p>
      <w:pPr>
        <w:spacing w:after="60" w:before="0"/>
      </w:pPr>
      <w:r>
        <w:rPr>
          <w:rFonts w:ascii="Arial" w:cs="Arial" w:eastAsia="Arial" w:hAnsi="Arial"/>
          <w:i/>
          <w:iCs/>
          <w:color w:val="404040"/>
          <w:sz w:val="28"/>
          <w:szCs w:val="28"/>
        </w:rPr>
        <w:t xml:space="preserve">AE &amp; Ultrasound Signal Regression to Kappa for Ball Bearing Lubrication Condition Monitoring</w:t>
      </w:r>
    </w:p>
    <w:p>
      <w:pPr>
        <w:spacing w:after="240" w:before="0"/>
      </w:pPr>
      <w:r>
        <w:rPr>
          <w:rFonts w:ascii="Arial" w:cs="Arial" w:eastAsia="Arial" w:hAnsi="Arial"/>
          <w:color w:val="808080"/>
          <w:sz w:val="20"/>
          <w:szCs w:val="20"/>
        </w:rPr>
        <w:t xml:space="preserve">CeramicSpeed experimental dataset — assessed March 2026</w:t>
      </w:r>
    </w:p>
    <w:p>
      <w:pPr>
        <w:pBdr>
          <w:bottom w:val="single" w:color="2E75B6" w:sz="4" w:space="1"/>
        </w:pBdr>
        <w:spacing w:after="80" w:before="80"/>
      </w:pPr>
      <w:r>
        <w:t xml:space="preserve"/>
      </w:r>
    </w:p>
    <w:p>
      <w:pPr>
        <w:spacing w:after="120" w:before="0"/>
      </w:pPr>
      <w:r>
        <w:t xml:space="preserve"/>
      </w:r>
    </w:p>
    <w:p>
      <w:pPr>
        <w:pStyle w:val="Heading1"/>
        <w:spacing w:after="160" w:before="320"/>
      </w:pPr>
      <w:r>
        <w:rPr>
          <w:rFonts w:ascii="Arial" w:cs="Arial" w:eastAsia="Arial" w:hAnsi="Arial"/>
          <w:b/>
          <w:bCs/>
          <w:color w:val="1F4E79"/>
          <w:sz w:val="32"/>
          <w:szCs w:val="32"/>
        </w:rPr>
        <w:t xml:space="preserve">1. Executive Summary</w:t>
      </w:r>
    </w:p>
    <w:p>
      <w:pPr>
        <w:spacing w:after="100" w:before="80"/>
      </w:pPr>
      <w:r>
        <w:rPr>
          <w:rFonts w:ascii="Arial" w:cs="Arial" w:eastAsia="Arial" w:hAnsi="Arial"/>
          <w:sz w:val="22"/>
          <w:szCs w:val="22"/>
        </w:rPr>
        <w:t xml:space="preserve">This assessment evaluates the experimental analysis material in the </w:t>
      </w:r>
      <w:r>
        <w:rPr>
          <w:rFonts w:ascii="Arial" w:cs="Arial" w:eastAsia="Arial" w:hAnsi="Arial"/>
          <w:b/>
          <w:bCs/>
          <w:color w:val="000000"/>
          <w:sz w:val="22"/>
          <w:szCs w:val="22"/>
        </w:rPr>
        <w:t xml:space="preserve">publication-ceramicspeed-dataset</w:t>
      </w:r>
      <w:r>
        <w:rPr>
          <w:rFonts w:ascii="Arial" w:cs="Arial" w:eastAsia="Arial" w:hAnsi="Arial"/>
          <w:sz w:val="22"/>
          <w:szCs w:val="22"/>
        </w:rPr>
        <w:t xml:space="preserve"> folder for readiness as a standalone peer-reviewed publication. The work demonstrates a well-engineered signal processing and machine learning pipeline applied to acoustic emission (AE) and ultrasound (US) signals from a ball bearing, with the aim of regressing a physics-based lubrication condition index (κ). The analysis infrastructure is of high quality. However, several fundamental limitations — dataset size, operating-condition confounding, ultrasound hardware constraints, and the counter-intuitive fusion result — must be resolved before a successful submission to a Q1/Q2 journal in this field is feasible.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Dimension</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Verdict</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Analysis pipeline quality</w:t>
            </w:r>
          </w:p>
        </w:tc>
        <w:tc>
          <w:tcPr>
            <w:tcW w:type="dxa" w:w="5026"/>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 Publication-ready</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Experimental dataset breadth</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 Insufficient for standalone paper</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Best model performance (R² = 0.64)</w:t>
            </w:r>
          </w:p>
        </w:tc>
        <w:tc>
          <w:tcPr>
            <w:tcW w:type="dxa" w:w="5026"/>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 Moderate — acceptable if framed correctly</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RPM–kappa confounding</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 Not resolved; critical methodological gap</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Fusion hypothesis (H5)</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 Contradicted by results (combined &lt; AE alone)</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Physical interpretation depth</w:t>
            </w:r>
          </w:p>
        </w:tc>
        <w:tc>
          <w:tcPr>
            <w:tcW w:type="dxa" w:w="5026"/>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 Hypotheses documented; not verified</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Target journal readiness</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 Not yet ready — needs 2nd experiment round</w:t>
            </w:r>
          </w:p>
        </w:tc>
      </w:tr>
    </w:tbl>
    <w:p>
      <w:pPr>
        <w:spacing w:after="240" w:before="0"/>
      </w:pPr>
      <w:r>
        <w:t xml:space="preserve"/>
      </w:r>
    </w:p>
    <w:p>
      <w:pPr>
        <w:pStyle w:val="Heading1"/>
        <w:spacing w:after="160" w:before="320"/>
      </w:pPr>
      <w:r>
        <w:rPr>
          <w:rFonts w:ascii="Arial" w:cs="Arial" w:eastAsia="Arial" w:hAnsi="Arial"/>
          <w:b/>
          <w:bCs/>
          <w:color w:val="1F4E79"/>
          <w:sz w:val="32"/>
          <w:szCs w:val="32"/>
        </w:rPr>
        <w:t xml:space="preserve">2. Material Overview</w:t>
      </w:r>
    </w:p>
    <w:p>
      <w:pPr>
        <w:spacing w:after="100" w:before="80"/>
      </w:pPr>
      <w:r>
        <w:rPr>
          <w:rFonts w:ascii="Arial" w:cs="Arial" w:eastAsia="Arial" w:hAnsi="Arial"/>
          <w:sz w:val="22"/>
          <w:szCs w:val="22"/>
        </w:rPr>
        <w:t xml:space="preserve">The dataset consists of six HDF5 measurement files from two experimental sessions on a single CeramicSpeed ball bearing lubricated with Keratech 22 oil. Signals were simultaneously acquired from an acoustic emission sensor and a heterodyned ultrasound probe at RPM steps of 500–2500 at two temperature set-points (~45°C and ~75°C). The lubrication condition index κ is derived analytically from RPM, temperature, oil viscosity (Walther’s equation), and bearing geometry using the Hamrock–Dowson model.</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2.1 Analysis Pipeline</w:t>
      </w:r>
    </w:p>
    <w:p>
      <w:pPr>
        <w:spacing w:after="100" w:before="80"/>
      </w:pPr>
      <w:r>
        <w:rPr>
          <w:rFonts w:ascii="Arial" w:cs="Arial" w:eastAsia="Arial" w:hAnsi="Arial"/>
          <w:sz w:val="22"/>
          <w:szCs w:val="22"/>
        </w:rPr>
        <w:t xml:space="preserve">The four-script Python pipeline is well-structured and fully reproducible:</w:t>
      </w:r>
    </w:p>
    <w:p>
      <w:pPr>
        <w:pStyle w:val="ListParagraph"/>
        <w:numPr>
          <w:ilvl w:val="0"/>
          <w:numId w:val="2"/>
        </w:numPr>
        <w:spacing w:after="40" w:before="40"/>
      </w:pPr>
      <w:r>
        <w:rPr>
          <w:rFonts w:ascii="Arial" w:cs="Arial" w:eastAsia="Arial" w:hAnsi="Arial"/>
          <w:sz w:val="22"/>
          <w:szCs w:val="22"/>
        </w:rPr>
        <w:t xml:space="preserve">01_feature_generation.py — Extracts 26 time-domain and frequency-domain features from each sweep × sensor pair, with optional signal cleaning (NaN/Inf interpolation, clipping detection, spike removal).</w:t>
      </w:r>
    </w:p>
    <w:p>
      <w:pPr>
        <w:pStyle w:val="ListParagraph"/>
        <w:numPr>
          <w:ilvl w:val="0"/>
          <w:numId w:val="2"/>
        </w:numPr>
        <w:spacing w:after="40" w:before="40"/>
      </w:pPr>
      <w:r>
        <w:rPr>
          <w:rFonts w:ascii="Arial" w:cs="Arial" w:eastAsia="Arial" w:hAnsi="Arial"/>
          <w:sz w:val="22"/>
          <w:szCs w:val="22"/>
        </w:rPr>
        <w:t xml:space="preserve">02_feature_analysis.py — Computes Spearman rank correlations with κ, Variance Inflation Factors, inter-feature correlation matrices, and a greedy redundancy-reduction algorithm to produce retained feature subsets.</w:t>
      </w:r>
    </w:p>
    <w:p>
      <w:pPr>
        <w:pStyle w:val="ListParagraph"/>
        <w:numPr>
          <w:ilvl w:val="0"/>
          <w:numId w:val="2"/>
        </w:numPr>
        <w:spacing w:after="40" w:before="40"/>
      </w:pPr>
      <w:r>
        <w:rPr>
          <w:rFonts w:ascii="Arial" w:cs="Arial" w:eastAsia="Arial" w:hAnsi="Arial"/>
          <w:sz w:val="22"/>
          <w:szCs w:val="22"/>
        </w:rPr>
        <w:t xml:space="preserve">03_frequency_band_analysis.py — Computes Welch PSDs partitioned into 800 kHz fixed-width bands and assesses each band’s mutual information and partial Spearman correlation with κ controlling for RPM and temperature.</w:t>
      </w:r>
    </w:p>
    <w:p>
      <w:pPr>
        <w:pStyle w:val="ListParagraph"/>
        <w:numPr>
          <w:ilvl w:val="0"/>
          <w:numId w:val="2"/>
        </w:numPr>
        <w:spacing w:after="40" w:before="40"/>
      </w:pPr>
      <w:r>
        <w:rPr>
          <w:rFonts w:ascii="Arial" w:cs="Arial" w:eastAsia="Arial" w:hAnsi="Arial"/>
          <w:sz w:val="22"/>
          <w:szCs w:val="22"/>
        </w:rPr>
        <w:t xml:space="preserve">04_modelling.py — Trains and evaluates four model families (Elastic Net, Bayesian Ridge, degree-2 Polynomial Ridge, LightGBM) with 80/20 hold-out and 5-fold cross-validation, producing per-sensor and combined (AE+US) models.</w:t>
      </w:r>
    </w:p>
    <w:p>
      <w:pPr>
        <w:spacing w:after="100" w:before="80"/>
      </w:pPr>
      <w:r>
        <w:rPr>
          <w:rFonts w:ascii="Arial" w:cs="Arial" w:eastAsia="Arial" w:hAnsi="Arial"/>
          <w:sz w:val="22"/>
          <w:szCs w:val="22"/>
        </w:rPr>
        <w:t xml:space="preserve">The config-driven YAML system, Parquet intermediate storage, and comprehensive output artefacts (CSVs, PNGs, per-fold CSVs) represent a mature, reproducible research workflow.</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3. Key Results</w:t>
      </w:r>
    </w:p>
    <w:p>
      <w:pPr>
        <w:pStyle w:val="Heading2"/>
        <w:spacing w:after="120" w:before="240"/>
      </w:pPr>
      <w:r>
        <w:rPr>
          <w:rFonts w:ascii="Arial" w:cs="Arial" w:eastAsia="Arial" w:hAnsi="Arial"/>
          <w:b/>
          <w:bCs/>
          <w:color w:val="2E75B6"/>
          <w:sz w:val="26"/>
          <w:szCs w:val="26"/>
        </w:rPr>
        <w:t xml:space="preserve">3.1 Feature Correlation with κ</w:t>
      </w:r>
    </w:p>
    <w:p>
      <w:pPr>
        <w:spacing w:after="100" w:before="80"/>
      </w:pPr>
      <w:r>
        <w:rPr>
          <w:rFonts w:ascii="Arial" w:cs="Arial" w:eastAsia="Arial" w:hAnsi="Arial"/>
          <w:sz w:val="22"/>
          <w:szCs w:val="22"/>
        </w:rPr>
        <w:t xml:space="preserve">After Spearman ranking and greedy redundancy reduction, 10 AE features and 11 US features were retained. Top correlates differ substantially between sensors: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63"/>
        <w:gridCol w:w="3000"/>
        <w:gridCol w:w="1663"/>
      </w:tblGrid>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Rank</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AE Feature</w:t>
            </w:r>
          </w:p>
        </w:tc>
        <w:tc>
          <w:tcPr>
            <w:tcW w:type="dxa" w:w="1663"/>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|ρ|</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US Feature</w:t>
            </w:r>
          </w:p>
        </w:tc>
        <w:tc>
          <w:tcPr>
            <w:tcW w:type="dxa" w:w="1663"/>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|ρ|</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Hjorth mobility</w:t>
            </w:r>
          </w:p>
        </w:tc>
        <w:tc>
          <w:tcPr>
            <w:tcW w:type="dxa" w:w="16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0.69</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Spectral std</w:t>
            </w:r>
          </w:p>
        </w:tc>
        <w:tc>
          <w:tcPr>
            <w:tcW w:type="dxa" w:w="16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0.58</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Spectral flatness</w:t>
            </w:r>
          </w:p>
        </w:tc>
        <w:tc>
          <w:tcPr>
            <w:tcW w:type="dxa" w:w="16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0.62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RMS</w:t>
            </w:r>
          </w:p>
        </w:tc>
        <w:tc>
          <w:tcPr>
            <w:tcW w:type="dxa" w:w="16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0.57</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Variance / std (tied)</w:t>
            </w:r>
          </w:p>
        </w:tc>
        <w:tc>
          <w:tcPr>
            <w:tcW w:type="dxa" w:w="16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Hjorth mobility</w:t>
            </w:r>
          </w:p>
        </w:tc>
        <w:tc>
          <w:tcPr>
            <w:tcW w:type="dxa" w:w="16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RMS</w:t>
            </w:r>
          </w:p>
        </w:tc>
        <w:tc>
          <w:tcPr>
            <w:tcW w:type="dxa" w:w="16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Variance / std (tied)</w:t>
            </w:r>
          </w:p>
        </w:tc>
        <w:tc>
          <w:tcPr>
            <w:tcW w:type="dxa" w:w="16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Peak</w:t>
            </w:r>
          </w:p>
        </w:tc>
        <w:tc>
          <w:tcPr>
            <w:tcW w:type="dxa" w:w="166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0.55</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Peak</w:t>
            </w:r>
          </w:p>
        </w:tc>
        <w:tc>
          <w:tcPr>
            <w:tcW w:type="dxa" w:w="166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0.51</w:t>
            </w:r>
          </w:p>
        </w:tc>
      </w:tr>
    </w:tbl>
    <w:p>
      <w:pPr>
        <w:spacing w:after="120" w:before="0"/>
      </w:pPr>
      <w:r>
        <w:t xml:space="preserve"/>
      </w:r>
    </w:p>
    <w:p>
      <w:pPr>
        <w:spacing w:after="100" w:before="80"/>
      </w:pPr>
      <w:r>
        <w:rPr>
          <w:rFonts w:ascii="Arial" w:cs="Arial" w:eastAsia="Arial" w:hAnsi="Arial"/>
          <w:sz w:val="22"/>
          <w:szCs w:val="22"/>
        </w:rPr>
        <w:t xml:space="preserve">Notably, for AE the top feature is Hjorth mobility (|ρ| = 0.69) whereas for US it is spectral std (|ρ| = 0.58). This partial divergence is consistent with the hypothesis that the two sensors are sensitive to physically different aspects of the contact. However, both sensors also rank RMS and amplitude features highly — features that are known to be strongly confounded with RPM (see Section 4.2 below). The </w:t>
      </w:r>
      <w:r>
        <w:rPr>
          <w:rFonts w:ascii="Arial" w:cs="Arial" w:eastAsia="Arial" w:hAnsi="Arial"/>
          <w:b/>
          <w:bCs/>
          <w:color w:val="000000"/>
          <w:sz w:val="22"/>
          <w:szCs w:val="22"/>
        </w:rPr>
        <w:t xml:space="preserve">effective correlation with κ after removing the RPM effect is likely substantially lower</w:t>
      </w:r>
      <w:r>
        <w:rPr>
          <w:rFonts w:ascii="Arial" w:cs="Arial" w:eastAsia="Arial" w:hAnsi="Arial"/>
          <w:sz w:val="22"/>
          <w:szCs w:val="22"/>
        </w:rPr>
        <w:t xml:space="preserve"> than reported values suggest.</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3.2 Model Performance</w:t>
      </w:r>
    </w:p>
    <w:p>
      <w:pPr>
        <w:spacing w:after="100" w:before="80"/>
      </w:pPr>
      <w:r>
        <w:rPr>
          <w:rFonts w:ascii="Arial" w:cs="Arial" w:eastAsia="Arial" w:hAnsi="Arial"/>
          <w:sz w:val="22"/>
          <w:szCs w:val="22"/>
        </w:rPr>
        <w:t xml:space="preserve">All models were evaluated on a random 80/20 hold-out split. Results are summarised below.</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900"/>
        <w:gridCol w:w="900"/>
        <w:gridCol w:w="900"/>
        <w:gridCol w:w="900"/>
        <w:gridCol w:w="900"/>
        <w:gridCol w:w="826"/>
      </w:tblGrid>
      <w:tr>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Model</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Sensor(s)</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CV R²</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HO R²</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CV MAE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HO MAE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CV RMSE</w:t>
            </w:r>
          </w:p>
        </w:tc>
        <w:tc>
          <w:tcPr>
            <w:tcW w:type="dxa" w:w="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HO RMSE</w:t>
            </w:r>
          </w:p>
        </w:tc>
      </w:tr>
      <w:tr>
        <w:tc>
          <w:tcPr>
            <w:tcW w:type="dxa" w:w="26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LightGBM</w:t>
            </w:r>
          </w:p>
        </w:tc>
        <w:tc>
          <w:tcPr>
            <w:tcW w:type="dxa" w:w="11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AE</w:t>
            </w:r>
          </w:p>
        </w:tc>
        <w:tc>
          <w:tcPr>
            <w:tcW w:type="dxa" w:w="9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0.646</w:t>
            </w:r>
          </w:p>
        </w:tc>
        <w:tc>
          <w:tcPr>
            <w:tcW w:type="dxa" w:w="9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0.644</w:t>
            </w:r>
          </w:p>
        </w:tc>
        <w:tc>
          <w:tcPr>
            <w:tcW w:type="dxa" w:w="9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0.137</w:t>
            </w:r>
          </w:p>
        </w:tc>
        <w:tc>
          <w:tcPr>
            <w:tcW w:type="dxa" w:w="9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0.136</w:t>
            </w:r>
          </w:p>
        </w:tc>
        <w:tc>
          <w:tcPr>
            <w:tcW w:type="dxa" w:w="900"/>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0.195</w:t>
            </w:r>
          </w:p>
        </w:tc>
        <w:tc>
          <w:tcPr>
            <w:tcW w:type="dxa" w:w="826"/>
            <w:tcBorders>
              <w:top w:val="single" w:color="BFBFBF" w:sz="1"/>
              <w:left w:val="single" w:color="BFBFBF" w:sz="1"/>
              <w:bottom w:val="single" w:color="BFBFBF" w:sz="1"/>
              <w:right w:val="single" w:color="BFBFBF" w:sz="1"/>
            </w:tcBorders>
            <w:shd w:fill="D6F0E0" w:val="clear"/>
            <w:tcMar>
              <w:top w:type="dxa" w:w="80"/>
              <w:left w:type="dxa" w:w="120"/>
              <w:bottom w:type="dxa" w:w="80"/>
              <w:right w:type="dxa" w:w="120"/>
            </w:tcMar>
          </w:tcPr>
          <w:p>
            <w:pPr>
              <w:spacing w:after="0" w:before="0"/>
            </w:pPr>
            <w:r>
              <w:rPr>
                <w:rFonts w:ascii="Arial" w:cs="Arial" w:eastAsia="Arial" w:hAnsi="Arial"/>
                <w:color w:val="1E6B3C"/>
                <w:sz w:val="20"/>
                <w:szCs w:val="20"/>
              </w:rPr>
              <w:t xml:space="preserve">0.193</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LightGBM</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Combined</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0.632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0.598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0.144</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0.148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0.199</w:t>
            </w:r>
          </w:p>
        </w:tc>
        <w:tc>
          <w:tcPr>
            <w:tcW w:type="dxa" w:w="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0.205</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LightGBM</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US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0.567</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0.560</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0.158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0.143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0.217</w:t>
            </w:r>
          </w:p>
        </w:tc>
        <w:tc>
          <w:tcPr>
            <w:tcW w:type="dxa" w:w="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0.212</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Polynomial (deg=2)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AE</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0.541</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0.537</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0.178</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0.179</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0.223</w:t>
            </w:r>
          </w:p>
        </w:tc>
        <w:tc>
          <w:tcPr>
            <w:tcW w:type="dxa" w:w="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Elastic Net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AE</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0.536</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0.532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0.183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0.185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0.224</w:t>
            </w:r>
          </w:p>
        </w:tc>
        <w:tc>
          <w:tcPr>
            <w:tcW w:type="dxa" w:w="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0.221</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Bayesian Ridge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AE</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0.536</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0.532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0.182</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0.185</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0.224</w:t>
            </w:r>
          </w:p>
        </w:tc>
        <w:tc>
          <w:tcPr>
            <w:tcW w:type="dxa" w:w="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0.222</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Elastic Net</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US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0.418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0.453</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0.207</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0.192</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0.251</w:t>
            </w:r>
          </w:p>
        </w:tc>
        <w:tc>
          <w:tcPr>
            <w:tcW w:type="dxa" w:w="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0.237</w:t>
            </w:r>
          </w:p>
        </w:tc>
      </w:tr>
    </w:tbl>
    <w:p>
      <w:pPr>
        <w:spacing w:after="120" w:before="0"/>
      </w:pPr>
      <w:r>
        <w:t xml:space="preserve"/>
      </w:r>
    </w:p>
    <w:p>
      <w:pPr>
        <w:spacing w:after="120" w:before="0"/>
      </w:pPr>
      <w:r>
        <w:rPr>
          <w:rFonts w:ascii="Arial" w:cs="Arial" w:eastAsia="Arial" w:hAnsi="Arial"/>
          <w:i/>
          <w:iCs/>
          <w:sz w:val="22"/>
          <w:szCs w:val="22"/>
        </w:rPr>
        <w:t xml:space="preserve">CV = 5-fold cross-validation on training set. HO = hold-out test set (20%). Best result highlighted in green. Combined = AE + US features concatenated.</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4. Strengths</w:t>
      </w:r>
    </w:p>
    <w:p>
      <w:pPr>
        <w:pStyle w:val="Heading2"/>
        <w:spacing w:after="120" w:before="240"/>
      </w:pPr>
      <w:r>
        <w:rPr>
          <w:rFonts w:ascii="Arial" w:cs="Arial" w:eastAsia="Arial" w:hAnsi="Arial"/>
          <w:b/>
          <w:bCs/>
          <w:color w:val="2E75B6"/>
          <w:sz w:val="26"/>
          <w:szCs w:val="26"/>
        </w:rPr>
        <w:t xml:space="preserve">4.1 Physics-Grounded Target Variable</w:t>
      </w:r>
    </w:p>
    <w:p>
      <w:pPr>
        <w:spacing w:after="100" w:before="80"/>
      </w:pPr>
      <w:r>
        <w:rPr>
          <w:rFonts w:ascii="Arial" w:cs="Arial" w:eastAsia="Arial" w:hAnsi="Arial"/>
          <w:sz w:val="22"/>
          <w:szCs w:val="22"/>
        </w:rPr>
        <w:t xml:space="preserve">Using the Hamrock–Dowson derived κ as a continuous regression target is substantially more rigorous than binary lubrication-regime classification. It connects the signal processing directly to tribology, which is a genuine contribution relative to papers that simply label “good” and “bad” lubrication. The kappa calculation utility in own_utils/calculate_kappa.py is also well-implemented with Walther viscosity interpolation.</w:t>
      </w:r>
    </w:p>
    <w:p>
      <w:pPr>
        <w:pStyle w:val="Heading2"/>
        <w:spacing w:after="120" w:before="240"/>
      </w:pPr>
      <w:r>
        <w:rPr>
          <w:rFonts w:ascii="Arial" w:cs="Arial" w:eastAsia="Arial" w:hAnsi="Arial"/>
          <w:b/>
          <w:bCs/>
          <w:color w:val="2E75B6"/>
          <w:sz w:val="26"/>
          <w:szCs w:val="26"/>
        </w:rPr>
        <w:t xml:space="preserve">4.2 Rigorous Statistical Methodology</w:t>
      </w:r>
    </w:p>
    <w:p>
      <w:pPr>
        <w:spacing w:after="100" w:before="80"/>
      </w:pPr>
      <w:r>
        <w:rPr>
          <w:rFonts w:ascii="Arial" w:cs="Arial" w:eastAsia="Arial" w:hAnsi="Arial"/>
          <w:sz w:val="22"/>
          <w:szCs w:val="22"/>
        </w:rPr>
        <w:t xml:space="preserve">The pipeline includes genuinely rigorous statistical practices: Spearman (non-parametric) rank correlation rather than Pearson; Variance Inflation Factor analysis to flag multicollinearity; greedy feature selection that explicitly trades correlation strength against redundancy; nested cross-validation with inner loop hyperparameter selection; and a truly held-out test set that was never touched during model development. These are all requirements for publication-quality empirical work and are correctly implemented.</w:t>
      </w:r>
    </w:p>
    <w:p>
      <w:pPr>
        <w:pStyle w:val="Heading2"/>
        <w:spacing w:after="120" w:before="240"/>
      </w:pPr>
      <w:r>
        <w:rPr>
          <w:rFonts w:ascii="Arial" w:cs="Arial" w:eastAsia="Arial" w:hAnsi="Arial"/>
          <w:b/>
          <w:bCs/>
          <w:color w:val="2E75B6"/>
          <w:sz w:val="26"/>
          <w:szCs w:val="26"/>
        </w:rPr>
        <w:t xml:space="preserve">4.3 Multi-Model Benchmarking</w:t>
      </w:r>
    </w:p>
    <w:p>
      <w:pPr>
        <w:spacing w:after="100" w:before="80"/>
      </w:pPr>
      <w:r>
        <w:rPr>
          <w:rFonts w:ascii="Arial" w:cs="Arial" w:eastAsia="Arial" w:hAnsi="Arial"/>
          <w:sz w:val="22"/>
          <w:szCs w:val="22"/>
        </w:rPr>
        <w:t xml:space="preserve">Evaluating four regression families (regularised linear, Bayesian, polynomial, gradient boosted) per sensor and combined provides a credible picture of what the feature set can and cannot do. The consistency of results across models (e.g. R² ≈ 0.53–0.54 for all linear models on AE) increases confidence that performance is data-limited rather than model-limited.</w:t>
      </w:r>
    </w:p>
    <w:p>
      <w:pPr>
        <w:pStyle w:val="Heading2"/>
        <w:spacing w:after="120" w:before="240"/>
      </w:pPr>
      <w:r>
        <w:rPr>
          <w:rFonts w:ascii="Arial" w:cs="Arial" w:eastAsia="Arial" w:hAnsi="Arial"/>
          <w:b/>
          <w:bCs/>
          <w:color w:val="2E75B6"/>
          <w:sz w:val="26"/>
          <w:szCs w:val="26"/>
        </w:rPr>
        <w:t xml:space="preserve">4.4 Frequency Band Analysis (Script 03)</w:t>
      </w:r>
    </w:p>
    <w:p>
      <w:pPr>
        <w:spacing w:after="100" w:before="80"/>
      </w:pPr>
      <w:r>
        <w:rPr>
          <w:rFonts w:ascii="Arial" w:cs="Arial" w:eastAsia="Arial" w:hAnsi="Arial"/>
          <w:sz w:val="22"/>
          <w:szCs w:val="22"/>
        </w:rPr>
        <w:t xml:space="preserve">The 03_frequency_band_analysis.py script includes a partial Spearman analysis controlling for RPM and temperature, which is methodologically sophisticated and directly addresses the confounding problem identified in the EDA. The mutual information calculation provides a non-parametric complement. These outputs, once properly interpreted, could form the empirical core of a publication on frequency selectivity for LCM.</w:t>
      </w:r>
    </w:p>
    <w:p>
      <w:pPr>
        <w:pStyle w:val="Heading2"/>
        <w:spacing w:after="120" w:before="240"/>
      </w:pPr>
      <w:r>
        <w:rPr>
          <w:rFonts w:ascii="Arial" w:cs="Arial" w:eastAsia="Arial" w:hAnsi="Arial"/>
          <w:b/>
          <w:bCs/>
          <w:color w:val="2E75B6"/>
          <w:sz w:val="26"/>
          <w:szCs w:val="26"/>
        </w:rPr>
        <w:t xml:space="preserve">4.5 Well-Documented Hypotheses</w:t>
      </w:r>
    </w:p>
    <w:p>
      <w:pPr>
        <w:spacing w:after="100" w:before="80"/>
      </w:pPr>
      <w:r>
        <w:rPr>
          <w:rFonts w:ascii="Arial" w:cs="Arial" w:eastAsia="Arial" w:hAnsi="Arial"/>
          <w:sz w:val="22"/>
          <w:szCs w:val="22"/>
        </w:rPr>
        <w:t xml:space="preserve">The Results_restructured.docx contains seven specific, physically motivated hypotheses (H1–H7) linking signal features to lubrication physics. This level of mechanistic thinking is expected by Q1 reviewers and is largely absent from many competing papers. H1 (mobility captures asperity contact intensity), H4 (envelope spectral flatness marks regime transition), and H6 (envelope amplitude is non-monotonic) are particularly well argued.</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5. Critical Weaknesses</w:t>
      </w:r>
    </w:p>
    <w:p>
      <w:pPr>
        <w:pStyle w:val="Heading2"/>
        <w:spacing w:after="120" w:before="240"/>
      </w:pPr>
      <w:r>
        <w:rPr>
          <w:rFonts w:ascii="Arial" w:cs="Arial" w:eastAsia="Arial" w:hAnsi="Arial"/>
          <w:b/>
          <w:bCs/>
          <w:color w:val="2E75B6"/>
          <w:sz w:val="26"/>
          <w:szCs w:val="26"/>
        </w:rPr>
        <w:t xml:space="preserve">5.1 Dataset Is Too Small for a Standalone Publication</w:t>
      </w:r>
    </w:p>
    <w:p>
      <w:pPr>
        <w:spacing w:after="100" w:before="80"/>
      </w:pPr>
      <w:r>
        <w:rPr>
          <w:rFonts w:ascii="Arial" w:cs="Arial" w:eastAsia="Arial" w:hAnsi="Arial"/>
          <w:sz w:val="22"/>
          <w:szCs w:val="22"/>
        </w:rPr>
        <w:t xml:space="preserve">The dataset contains </w:t>
      </w:r>
      <w:r>
        <w:rPr>
          <w:rFonts w:ascii="Arial" w:cs="Arial" w:eastAsia="Arial" w:hAnsi="Arial"/>
          <w:b/>
          <w:bCs/>
          <w:color w:val="000000"/>
          <w:sz w:val="22"/>
          <w:szCs w:val="22"/>
        </w:rPr>
        <w:t xml:space="preserve">six HDF5 files from two experimental sessions</w:t>
      </w:r>
      <w:r>
        <w:rPr>
          <w:rFonts w:ascii="Arial" w:cs="Arial" w:eastAsia="Arial" w:hAnsi="Arial"/>
          <w:sz w:val="22"/>
          <w:szCs w:val="22"/>
        </w:rPr>
        <w:t xml:space="preserve"> on a single bearing with a single lubricant (Keratech 22). The effective experimental design is: 2 temperatures × 5 RPM levels = 10 operating conditions, with perhaps 30–40 sweeps per condition. This is insufficient to establish generalisability across:</w:t>
      </w:r>
    </w:p>
    <w:p>
      <w:pPr>
        <w:pStyle w:val="ListParagraph"/>
        <w:numPr>
          <w:ilvl w:val="0"/>
          <w:numId w:val="2"/>
        </w:numPr>
        <w:spacing w:after="40" w:before="40"/>
      </w:pPr>
      <w:r>
        <w:rPr>
          <w:rFonts w:ascii="Arial" w:cs="Arial" w:eastAsia="Arial" w:hAnsi="Arial"/>
          <w:sz w:val="22"/>
          <w:szCs w:val="22"/>
        </w:rPr>
        <w:t xml:space="preserve">Lubricant type (viscosity grade, additive package)</w:t>
      </w:r>
    </w:p>
    <w:p>
      <w:pPr>
        <w:pStyle w:val="ListParagraph"/>
        <w:numPr>
          <w:ilvl w:val="0"/>
          <w:numId w:val="2"/>
        </w:numPr>
        <w:spacing w:after="40" w:before="40"/>
      </w:pPr>
      <w:r>
        <w:rPr>
          <w:rFonts w:ascii="Arial" w:cs="Arial" w:eastAsia="Arial" w:hAnsi="Arial"/>
          <w:sz w:val="22"/>
          <w:szCs w:val="22"/>
        </w:rPr>
        <w:t xml:space="preserve">Bearing type and size</w:t>
      </w:r>
    </w:p>
    <w:p>
      <w:pPr>
        <w:pStyle w:val="ListParagraph"/>
        <w:numPr>
          <w:ilvl w:val="0"/>
          <w:numId w:val="2"/>
        </w:numPr>
        <w:spacing w:after="40" w:before="40"/>
      </w:pPr>
      <w:r>
        <w:rPr>
          <w:rFonts w:ascii="Arial" w:cs="Arial" w:eastAsia="Arial" w:hAnsi="Arial"/>
          <w:sz w:val="22"/>
          <w:szCs w:val="22"/>
        </w:rPr>
        <w:t xml:space="preserve">Load variation (not swept at all in the current design)</w:t>
      </w:r>
    </w:p>
    <w:p>
      <w:pPr>
        <w:pStyle w:val="ListParagraph"/>
        <w:numPr>
          <w:ilvl w:val="0"/>
          <w:numId w:val="2"/>
        </w:numPr>
        <w:spacing w:after="40" w:before="40"/>
      </w:pPr>
      <w:r>
        <w:rPr>
          <w:rFonts w:ascii="Arial" w:cs="Arial" w:eastAsia="Arial" w:hAnsi="Arial"/>
          <w:sz w:val="22"/>
          <w:szCs w:val="22"/>
        </w:rPr>
        <w:t xml:space="preserve">Different contamination and degradation states</w:t>
      </w:r>
    </w:p>
    <w:p>
      <w:pPr>
        <w:spacing w:after="100" w:before="80"/>
      </w:pPr>
      <w:r>
        <w:rPr>
          <w:rFonts w:ascii="Arial" w:cs="Arial" w:eastAsia="Arial" w:hAnsi="Arial"/>
          <w:sz w:val="22"/>
          <w:szCs w:val="22"/>
        </w:rPr>
        <w:t xml:space="preserve">Journals such as Mechanical Systems and Signal Processing (MSSP), Tribology International, or Tribology Transactions will expect experiments on at least 2–3 lubricant conditions and demonstration that the model generalises to an unseen bearing or operating point. The current dataset supports a conference paper or a companion dataset paper, but not a full journal article alone.</w:t>
      </w:r>
    </w:p>
    <w:p>
      <w:pPr>
        <w:pStyle w:val="Heading2"/>
        <w:spacing w:after="120" w:before="240"/>
      </w:pPr>
      <w:r>
        <w:rPr>
          <w:rFonts w:ascii="Arial" w:cs="Arial" w:eastAsia="Arial" w:hAnsi="Arial"/>
          <w:b/>
          <w:bCs/>
          <w:color w:val="2E75B6"/>
          <w:sz w:val="26"/>
          <w:szCs w:val="26"/>
        </w:rPr>
        <w:t xml:space="preserve">5.2 RPM–Kappa Confounding Is Unresolved</w:t>
      </w:r>
    </w:p>
    <w:p>
      <w:pPr>
        <w:spacing w:after="100" w:before="80"/>
      </w:pPr>
      <w:r>
        <w:rPr>
          <w:rFonts w:ascii="Arial" w:cs="Arial" w:eastAsia="Arial" w:hAnsi="Arial"/>
          <w:sz w:val="22"/>
          <w:szCs w:val="22"/>
        </w:rPr>
        <w:t xml:space="preserve">This is the most serious methodological problem. In the current dataset, </w:t>
      </w:r>
      <w:r>
        <w:rPr>
          <w:rFonts w:ascii="Arial" w:cs="Arial" w:eastAsia="Arial" w:hAnsi="Arial"/>
          <w:b/>
          <w:bCs/>
          <w:color w:val="000000"/>
          <w:sz w:val="22"/>
          <w:szCs w:val="22"/>
        </w:rPr>
        <w:t xml:space="preserve">low κ coincides with low RPM</w:t>
      </w:r>
      <w:r>
        <w:rPr>
          <w:rFonts w:ascii="Arial" w:cs="Arial" w:eastAsia="Arial" w:hAnsi="Arial"/>
          <w:sz w:val="22"/>
          <w:szCs w:val="22"/>
        </w:rPr>
        <w:t xml:space="preserve"> (high κ requires high shaft speed to build a hydrodynamic film). As a consequence, virtually all amplitude features — RMS, peak, variance, std — which rank highly in the Spearman analysis may simply be </w:t>
      </w:r>
      <w:r>
        <w:rPr>
          <w:rFonts w:ascii="Arial" w:cs="Arial" w:eastAsia="Arial" w:hAnsi="Arial"/>
          <w:b/>
          <w:bCs/>
          <w:color w:val="000000"/>
          <w:sz w:val="22"/>
          <w:szCs w:val="22"/>
        </w:rPr>
        <w:t xml:space="preserve">detecting RPM rather than lubrication condition</w:t>
      </w:r>
      <w:r>
        <w:rPr>
          <w:rFonts w:ascii="Arial" w:cs="Arial" w:eastAsia="Arial" w:hAnsi="Arial"/>
          <w:sz w:val="22"/>
          <w:szCs w:val="22"/>
        </w:rPr>
        <w:t xml:space="preserve">. The EDA notes: “RMS clearly correlates with RPM” and “Mobility correlates well with kappa but also confounds rpm and kappa.” Script 03 attempts a partial correlation controlling for RPM, but those results are not yet incorporated into the modelling pipeline.</w:t>
      </w:r>
    </w:p>
    <w:p>
      <w:pPr>
        <w:spacing w:after="100" w:before="80"/>
      </w:pPr>
      <w:r>
        <w:rPr>
          <w:rFonts w:ascii="Arial" w:cs="Arial" w:eastAsia="Arial" w:hAnsi="Arial"/>
          <w:sz w:val="22"/>
          <w:szCs w:val="22"/>
        </w:rPr>
        <w:t xml:space="preserve">Without resolving this, no reviewer will accept the claim that the models are detecting lubrication state. The required mitigation is either: (a) experiments that independently vary RPM and temperature to achieve overlapping kappa values at different RPMs (e.g., high RPM / low temperature giving the same κ as low RPM / high temperature), or (b) explicit RPM-normalisation of features before modelling, with ablation studies showing that performance survives the normalisation.</w:t>
      </w:r>
    </w:p>
    <w:p>
      <w:pPr>
        <w:pStyle w:val="Heading2"/>
        <w:spacing w:after="120" w:before="240"/>
      </w:pPr>
      <w:r>
        <w:rPr>
          <w:rFonts w:ascii="Arial" w:cs="Arial" w:eastAsia="Arial" w:hAnsi="Arial"/>
          <w:b/>
          <w:bCs/>
          <w:color w:val="2E75B6"/>
          <w:sz w:val="26"/>
          <w:szCs w:val="26"/>
        </w:rPr>
        <w:t xml:space="preserve">5.3 Sensor Fusion Does Not Improve Performance</w:t>
      </w:r>
    </w:p>
    <w:p>
      <w:pPr>
        <w:spacing w:after="100" w:before="80"/>
      </w:pPr>
      <w:r>
        <w:rPr>
          <w:rFonts w:ascii="Arial" w:cs="Arial" w:eastAsia="Arial" w:hAnsi="Arial"/>
          <w:sz w:val="22"/>
          <w:szCs w:val="22"/>
        </w:rPr>
        <w:t xml:space="preserve">Hypothesis H5 states that “AE and US carry complementary, non-redundant information” and that “a fused feature set from both sensors should outperform either sensor alone.” The modelling results </w:t>
      </w:r>
      <w:r>
        <w:rPr>
          <w:rFonts w:ascii="Arial" w:cs="Arial" w:eastAsia="Arial" w:hAnsi="Arial"/>
          <w:b/>
          <w:bCs/>
          <w:color w:val="000000"/>
          <w:sz w:val="22"/>
          <w:szCs w:val="22"/>
        </w:rPr>
        <w:t xml:space="preserve">contradict this hypothesis</w:t>
      </w:r>
      <w:r>
        <w:rPr>
          <w:rFonts w:ascii="Arial" w:cs="Arial" w:eastAsia="Arial" w:hAnsi="Arial"/>
          <w:sz w:val="22"/>
          <w:szCs w:val="22"/>
        </w:rPr>
        <w:t xml:space="preserve">: the best combined LightGBM model achieves HO R² = 0.598, versus 0.644 for AE alone. The combined model also degrades from CV to hold-out more than the AE-alone model, suggesting mild overfitting from the larger feature space. This negative fusion result is </w:t>
      </w:r>
      <w:r>
        <w:rPr>
          <w:rFonts w:ascii="Arial" w:cs="Arial" w:eastAsia="Arial" w:hAnsi="Arial"/>
          <w:b/>
          <w:bCs/>
          <w:color w:val="000000"/>
          <w:sz w:val="22"/>
          <w:szCs w:val="22"/>
        </w:rPr>
        <w:t xml:space="preserve">publishable</w:t>
      </w:r>
      <w:r>
        <w:rPr>
          <w:rFonts w:ascii="Arial" w:cs="Arial" w:eastAsia="Arial" w:hAnsi="Arial"/>
          <w:sz w:val="22"/>
          <w:szCs w:val="22"/>
        </w:rPr>
        <w:t xml:space="preserve"> — it is a genuine finding — but it requires explicit investigation and explanation, not just a hypothesis asserting complementarity.</w:t>
      </w:r>
    </w:p>
    <w:p>
      <w:pPr>
        <w:spacing w:after="100" w:before="80"/>
      </w:pPr>
      <w:r>
        <w:rPr>
          <w:rFonts w:ascii="Arial" w:cs="Arial" w:eastAsia="Arial" w:hAnsi="Arial"/>
          <w:sz w:val="22"/>
          <w:szCs w:val="22"/>
        </w:rPr>
        <w:t xml:space="preserve">Possible explanations to investigate: (1) the US hardware limitations (heterodyning, limited useful bandwidth above ~10 kHz) may mean US features are noisier versions of the same information already captured by AE; (2) sample size may be insufficient to support a 21-dimensional combined model; (3) the two sensors may be correlated at the feature level in ways not captured by the inter-sensor cross-correlation analysis.</w:t>
      </w:r>
    </w:p>
    <w:p>
      <w:pPr>
        <w:pStyle w:val="Heading2"/>
        <w:spacing w:after="120" w:before="240"/>
      </w:pPr>
      <w:r>
        <w:rPr>
          <w:rFonts w:ascii="Arial" w:cs="Arial" w:eastAsia="Arial" w:hAnsi="Arial"/>
          <w:b/>
          <w:bCs/>
          <w:color w:val="2E75B6"/>
          <w:sz w:val="26"/>
          <w:szCs w:val="26"/>
        </w:rPr>
        <w:t xml:space="preserve">5.4 Ultrasound Hardware Limitations</w:t>
      </w:r>
    </w:p>
    <w:p>
      <w:pPr>
        <w:spacing w:after="100" w:before="80"/>
      </w:pPr>
      <w:r>
        <w:rPr>
          <w:rFonts w:ascii="Arial" w:cs="Arial" w:eastAsia="Arial" w:hAnsi="Arial"/>
          <w:sz w:val="22"/>
          <w:szCs w:val="22"/>
        </w:rPr>
        <w:t xml:space="preserve">As noted by Morten in the results document: </w:t>
      </w:r>
      <w:r>
        <w:rPr>
          <w:rFonts w:ascii="Arial" w:cs="Arial" w:eastAsia="Arial" w:hAnsi="Arial"/>
          <w:i/>
          <w:iCs/>
          <w:sz w:val="22"/>
          <w:szCs w:val="22"/>
        </w:rPr>
        <w:t xml:space="preserve">“Ultrasound readings are only useful up to maybe 10 kHz as the signal is heterodyned (frequency shifted) down into the hearable domain.”</w:t>
      </w:r>
      <w:r>
        <w:rPr>
          <w:rFonts w:ascii="Arial" w:cs="Arial" w:eastAsia="Arial" w:hAnsi="Arial"/>
          <w:sz w:val="22"/>
          <w:szCs w:val="22"/>
        </w:rPr>
        <w:t xml:space="preserve"> This means the “ultrasound” channel in the current dataset is effectively a low-frequency acoustic channel rather than true ultrasound, which undermines the physical interpretation of US features and any comparison with the literature on ultrasonic reflectometry for LCM. Publishing results from a heterodyned US channel without clearly disclosing this limitation would be misleading.</w:t>
      </w:r>
    </w:p>
    <w:p>
      <w:pPr>
        <w:spacing w:after="100" w:before="80"/>
      </w:pPr>
      <w:r>
        <w:rPr>
          <w:rFonts w:ascii="Arial" w:cs="Arial" w:eastAsia="Arial" w:hAnsi="Arial"/>
          <w:sz w:val="22"/>
          <w:szCs w:val="22"/>
        </w:rPr>
        <w:t xml:space="preserve">A raw-signal probe is under consideration but has not yet been acquired. Until true wideband US signals are available, the sensor should be described accurately (e.g., “low-frequency acoustic”) rather than “ultrasound.”</w:t>
      </w:r>
    </w:p>
    <w:p>
      <w:pPr>
        <w:pStyle w:val="Heading2"/>
        <w:spacing w:after="120" w:before="240"/>
      </w:pPr>
      <w:r>
        <w:rPr>
          <w:rFonts w:ascii="Arial" w:cs="Arial" w:eastAsia="Arial" w:hAnsi="Arial"/>
          <w:b/>
          <w:bCs/>
          <w:color w:val="2E75B6"/>
          <w:sz w:val="26"/>
          <w:szCs w:val="26"/>
        </w:rPr>
        <w:t xml:space="preserve">5.5 VFD Switching Noise Contamination</w:t>
      </w:r>
    </w:p>
    <w:p>
      <w:pPr>
        <w:spacing w:after="100" w:before="80"/>
      </w:pPr>
      <w:r>
        <w:rPr>
          <w:rFonts w:ascii="Arial" w:cs="Arial" w:eastAsia="Arial" w:hAnsi="Arial"/>
          <w:sz w:val="22"/>
          <w:szCs w:val="22"/>
        </w:rPr>
        <w:t xml:space="preserve">Harmonic content at 5 kHz and its multiples is attributed to VFD (variable-frequency drive) switching noise. A replacement VFD with a filter has been ordered but not yet installed. Some features in the 02 analysis may be sensitive to this artefact rather than to tribological signals. This is an acknowledged hardware limitation but it reduces confidence in low-frequency spectral features, which should be excluded or explicitly validated before publication.</w:t>
      </w:r>
    </w:p>
    <w:p>
      <w:pPr>
        <w:pStyle w:val="Heading2"/>
        <w:spacing w:after="120" w:before="240"/>
      </w:pPr>
      <w:r>
        <w:rPr>
          <w:rFonts w:ascii="Arial" w:cs="Arial" w:eastAsia="Arial" w:hAnsi="Arial"/>
          <w:b/>
          <w:bCs/>
          <w:color w:val="2E75B6"/>
          <w:sz w:val="26"/>
          <w:szCs w:val="26"/>
        </w:rPr>
        <w:t xml:space="preserve">5.6 Data Gap in the Mixed Lubrication Regime</w:t>
      </w:r>
    </w:p>
    <w:p>
      <w:pPr>
        <w:spacing w:after="100" w:before="80"/>
      </w:pPr>
      <w:r>
        <w:rPr>
          <w:rFonts w:ascii="Arial" w:cs="Arial" w:eastAsia="Arial" w:hAnsi="Arial"/>
          <w:sz w:val="22"/>
          <w:szCs w:val="22"/>
        </w:rPr>
        <w:t xml:space="preserve">Hypothesis H7 correctly identifies that </w:t>
      </w:r>
      <w:r>
        <w:rPr>
          <w:rFonts w:ascii="Arial" w:cs="Arial" w:eastAsia="Arial" w:hAnsi="Arial"/>
          <w:b/>
          <w:bCs/>
          <w:color w:val="000000"/>
          <w:sz w:val="22"/>
          <w:szCs w:val="22"/>
        </w:rPr>
        <w:t xml:space="preserve">very few samples exist at κ ≈ 0.6–0.9</w:t>
      </w:r>
      <w:r>
        <w:rPr>
          <w:rFonts w:ascii="Arial" w:cs="Arial" w:eastAsia="Arial" w:hAnsi="Arial"/>
          <w:sz w:val="22"/>
          <w:szCs w:val="22"/>
        </w:rPr>
        <w:t xml:space="preserve"> (the mixed lubrication regime, where partial film breakdown occurs). This is the most safety-relevant and practically important operating region for condition monitoring. Model performance in this regime is unknown but likely poor. A published evaluation of a kappa regression model that does not explicitly assess performance in the mixed regime will be rejected by tribology reviewers.</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6. Additional Observations</w:t>
      </w:r>
    </w:p>
    <w:p>
      <w:pPr>
        <w:pStyle w:val="Heading2"/>
        <w:spacing w:after="120" w:before="240"/>
      </w:pPr>
      <w:r>
        <w:rPr>
          <w:rFonts w:ascii="Arial" w:cs="Arial" w:eastAsia="Arial" w:hAnsi="Arial"/>
          <w:b/>
          <w:bCs/>
          <w:color w:val="2E75B6"/>
          <w:sz w:val="26"/>
          <w:szCs w:val="26"/>
        </w:rPr>
        <w:t xml:space="preserve">6.1 Spectral Flatness as Regime Classifier (H4)</w:t>
      </w:r>
    </w:p>
    <w:p>
      <w:pPr>
        <w:spacing w:after="100" w:before="80"/>
      </w:pPr>
      <w:r>
        <w:rPr>
          <w:rFonts w:ascii="Arial" w:cs="Arial" w:eastAsia="Arial" w:hAnsi="Arial"/>
          <w:sz w:val="22"/>
          <w:szCs w:val="22"/>
        </w:rPr>
        <w:t xml:space="preserve">The hypothesis that envelope spectral flatness is non-monotonic and works better as a classifier than a regressor is well-motivated. If confirmed, this would motivate a two-stage modelling approach: (1) classify lubrication regime using spectral flatness, (2) regress κ within each regime. This would also directly address the non-linearity that likely limits the linear models to R² ≈ 0.53.</w:t>
      </w:r>
    </w:p>
    <w:p>
      <w:pPr>
        <w:pStyle w:val="Heading2"/>
        <w:spacing w:after="120" w:before="240"/>
      </w:pPr>
      <w:r>
        <w:rPr>
          <w:rFonts w:ascii="Arial" w:cs="Arial" w:eastAsia="Arial" w:hAnsi="Arial"/>
          <w:b/>
          <w:bCs/>
          <w:color w:val="2E75B6"/>
          <w:sz w:val="26"/>
          <w:szCs w:val="26"/>
        </w:rPr>
        <w:t xml:space="preserve">6.2 Hjorth Mobility Is the Most Defensible Single Feature</w:t>
      </w:r>
    </w:p>
    <w:p>
      <w:pPr>
        <w:spacing w:after="100" w:before="80"/>
      </w:pPr>
      <w:r>
        <w:rPr>
          <w:rFonts w:ascii="Arial" w:cs="Arial" w:eastAsia="Arial" w:hAnsi="Arial"/>
          <w:sz w:val="22"/>
          <w:szCs w:val="22"/>
        </w:rPr>
        <w:t xml:space="preserve">Mobility has the strongest correlation with κ for AE (|ρ| = 0.69) and is physically interpretable: higher mobility corresponds to a higher proportion of rapid signal transitions, consistent with impulsive asperity contacts in boundary lubrication. A paper focused on this single feature, its physical basis, and its confounding by RPM would be a tighter and more publishable contribution than a generic ML regression study.</w:t>
      </w:r>
    </w:p>
    <w:p>
      <w:pPr>
        <w:pStyle w:val="Heading2"/>
        <w:spacing w:after="120" w:before="240"/>
      </w:pPr>
      <w:r>
        <w:rPr>
          <w:rFonts w:ascii="Arial" w:cs="Arial" w:eastAsia="Arial" w:hAnsi="Arial"/>
          <w:b/>
          <w:bCs/>
          <w:color w:val="2E75B6"/>
          <w:sz w:val="26"/>
          <w:szCs w:val="26"/>
        </w:rPr>
        <w:t xml:space="preserve">6.3 Model Uncertainty Is Not Reported</w:t>
      </w:r>
    </w:p>
    <w:p>
      <w:pPr>
        <w:spacing w:after="100" w:before="80"/>
      </w:pPr>
      <w:r>
        <w:rPr>
          <w:rFonts w:ascii="Arial" w:cs="Arial" w:eastAsia="Arial" w:hAnsi="Arial"/>
          <w:sz w:val="22"/>
          <w:szCs w:val="22"/>
        </w:rPr>
        <w:t xml:space="preserve">The Bayesian Ridge model offers predictive uncertainty (posterior variance) as a standard output, but the current analysis does not present uncertainty estimates on predictions or on model coefficients. For a regression to a continuous physical quantity, uncertainty quantification is increasingly expected in tribology journals and would strengthen the paper considerably.</w:t>
      </w:r>
    </w:p>
    <w:p>
      <w:pPr>
        <w:pStyle w:val="Heading2"/>
        <w:spacing w:after="120" w:before="240"/>
      </w:pPr>
      <w:r>
        <w:rPr>
          <w:rFonts w:ascii="Arial" w:cs="Arial" w:eastAsia="Arial" w:hAnsi="Arial"/>
          <w:b/>
          <w:bCs/>
          <w:color w:val="2E75B6"/>
          <w:sz w:val="26"/>
          <w:szCs w:val="26"/>
        </w:rPr>
        <w:t xml:space="preserve">6.4 No Baseline Comparator</w:t>
      </w:r>
    </w:p>
    <w:p>
      <w:pPr>
        <w:spacing w:after="100" w:before="80"/>
      </w:pPr>
      <w:r>
        <w:rPr>
          <w:rFonts w:ascii="Arial" w:cs="Arial" w:eastAsia="Arial" w:hAnsi="Arial"/>
          <w:sz w:val="22"/>
          <w:szCs w:val="22"/>
        </w:rPr>
        <w:t xml:space="preserve">The paper has no simple threshold-based or industry-standard baseline comparator (e.g., fixed dB threshold on RMS, analogous to what UE Systems or Sonotec instruments provide). Without such a baseline, it is unclear whether the ML models offer practical improvement over existing practice. Adding even a simple RPM-normalised RMS threshold as a baseline would contextualise the ML results.</w:t>
      </w:r>
    </w:p>
    <w:p>
      <w:pPr>
        <w:pStyle w:val="Heading2"/>
        <w:spacing w:after="120" w:before="240"/>
      </w:pPr>
      <w:r>
        <w:rPr>
          <w:rFonts w:ascii="Arial" w:cs="Arial" w:eastAsia="Arial" w:hAnsi="Arial"/>
          <w:b/>
          <w:bCs/>
          <w:color w:val="2E75B6"/>
          <w:sz w:val="26"/>
          <w:szCs w:val="26"/>
        </w:rPr>
        <w:t xml:space="preserve">6.5 Kappa Distribution and Regime Balance</w:t>
      </w:r>
    </w:p>
    <w:p>
      <w:pPr>
        <w:spacing w:after="100" w:before="80"/>
      </w:pPr>
      <w:r>
        <w:rPr>
          <w:rFonts w:ascii="Arial" w:cs="Arial" w:eastAsia="Arial" w:hAnsi="Arial"/>
          <w:sz w:val="22"/>
          <w:szCs w:val="22"/>
        </w:rPr>
        <w:t xml:space="preserve">The kappa range covered (derived from the experimental conditions) should be explicitly stated in any publication. If the dataset is dominated by boundary-lubrication sweeps (low κ), regression metrics will overestimate model performance on boundary conditions while underrepresenting performance on mixed/full-film conditions. Stratified performance reporting by regime is essential.</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7. Prioritised Recommendations</w:t>
      </w:r>
    </w:p>
    <w:p>
      <w:pPr>
        <w:spacing w:after="100" w:before="80"/>
      </w:pPr>
      <w:r>
        <w:rPr>
          <w:rFonts w:ascii="Arial" w:cs="Arial" w:eastAsia="Arial" w:hAnsi="Arial"/>
          <w:sz w:val="22"/>
          <w:szCs w:val="22"/>
        </w:rPr>
        <w:t xml:space="preserve">The following actions are ordered by their impact on publishability: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26"/>
        <w:gridCol w:w="1800"/>
        <w:gridCol w:w="1700"/>
      </w:tblGrid>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Action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Impact</w:t>
            </w:r>
          </w:p>
        </w:tc>
        <w:tc>
          <w:tcPr>
            <w:tcW w:type="dxa" w:w="1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spacing w:after="0" w:before="0"/>
            </w:pPr>
            <w:r>
              <w:rPr>
                <w:rFonts w:ascii="Arial" w:cs="Arial" w:eastAsia="Arial" w:hAnsi="Arial"/>
                <w:b/>
                <w:bCs/>
                <w:sz w:val="20"/>
                <w:szCs w:val="20"/>
              </w:rPr>
              <w:t xml:space="preserve">Effort</w:t>
            </w:r>
          </w:p>
        </w:tc>
      </w:tr>
      <w:tr>
        <w:tc>
          <w:tcPr>
            <w:tcW w:type="dxa" w:w="5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1</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Design and run experiments that decouple RPM from kappa (e.g., vary temperature and RPM independently to produce overlapping kappa at different speeds). This is a prerequisite for any causal claim about lubrication sensing.</w:t>
            </w:r>
          </w:p>
        </w:tc>
        <w:tc>
          <w:tcPr>
            <w:tcW w:type="dxa" w:w="18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Critical</w:t>
            </w:r>
          </w:p>
        </w:tc>
        <w:tc>
          <w:tcPr>
            <w:tcW w:type="dxa" w:w="17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High (new experiments)</w:t>
            </w:r>
          </w:p>
        </w:tc>
      </w:tr>
      <w:tr>
        <w:tc>
          <w:tcPr>
            <w:tcW w:type="dxa" w:w="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2</w:t>
            </w:r>
          </w:p>
        </w:tc>
        <w:tc>
          <w:tcPr>
            <w:tcW w:type="dxa" w:w="5026"/>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Acquire and integrate a true wideband ultrasound probe (non-heterodyned). Rerun the full pipeline on the new US channel.</w:t>
            </w:r>
          </w:p>
        </w:tc>
        <w:tc>
          <w:tcPr>
            <w:tcW w:type="dxa" w:w="1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Very High</w:t>
            </w:r>
          </w:p>
        </w:tc>
        <w:tc>
          <w:tcPr>
            <w:tcW w:type="dxa" w:w="1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Medium (hardware)</w:t>
            </w:r>
          </w:p>
        </w:tc>
      </w:tr>
      <w:tr>
        <w:tc>
          <w:tcPr>
            <w:tcW w:type="dxa" w:w="5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3</w:t>
            </w:r>
          </w:p>
        </w:tc>
        <w:tc>
          <w:tcPr>
            <w:tcW w:type="dxa" w:w="5026"/>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Install the VFD filter and re-acquire clean data. Validate which features change after noise removal.</w:t>
            </w:r>
          </w:p>
        </w:tc>
        <w:tc>
          <w:tcPr>
            <w:tcW w:type="dxa" w:w="18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High</w:t>
            </w:r>
          </w:p>
        </w:tc>
        <w:tc>
          <w:tcPr>
            <w:tcW w:type="dxa" w:w="1700"/>
            <w:tcBorders>
              <w:top w:val="single" w:color="BFBFBF" w:sz="1"/>
              <w:left w:val="single" w:color="BFBFBF" w:sz="1"/>
              <w:bottom w:val="single" w:color="BFBFBF" w:sz="1"/>
              <w:right w:val="single" w:color="BFBFBF" w:sz="1"/>
            </w:tcBorders>
            <w:shd w:fill="FDECEA" w:val="clear"/>
            <w:tcMar>
              <w:top w:type="dxa" w:w="80"/>
              <w:left w:type="dxa" w:w="120"/>
              <w:bottom w:type="dxa" w:w="80"/>
              <w:right w:type="dxa" w:w="120"/>
            </w:tcMar>
          </w:tcPr>
          <w:p>
            <w:pPr>
              <w:spacing w:after="0" w:before="0"/>
            </w:pPr>
            <w:r>
              <w:rPr>
                <w:rFonts w:ascii="Arial" w:cs="Arial" w:eastAsia="Arial" w:hAnsi="Arial"/>
                <w:color w:val="7B1A1A"/>
                <w:sz w:val="20"/>
                <w:szCs w:val="20"/>
              </w:rPr>
              <w:t xml:space="preserve">Low (hardware)</w:t>
            </w:r>
          </w:p>
        </w:tc>
      </w:tr>
      <w:tr>
        <w:tc>
          <w:tcPr>
            <w:tcW w:type="dxa" w:w="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4</w:t>
            </w:r>
          </w:p>
        </w:tc>
        <w:tc>
          <w:tcPr>
            <w:tcW w:type="dxa" w:w="5026"/>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Explicitly add RPM-normalised features (e.g., mobility/RMS, spectral ratios) and rerun the full modelling pipeline. Compare with unnormalised features. Include partial Spearman (Script 03 outputs) in the main modelling pipeline.</w:t>
            </w:r>
          </w:p>
        </w:tc>
        <w:tc>
          <w:tcPr>
            <w:tcW w:type="dxa" w:w="1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Very High</w:t>
            </w:r>
          </w:p>
        </w:tc>
        <w:tc>
          <w:tcPr>
            <w:tcW w:type="dxa" w:w="1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pPr>
            <w:r>
              <w:rPr>
                <w:rFonts w:ascii="Arial" w:cs="Arial" w:eastAsia="Arial" w:hAnsi="Arial"/>
                <w:color w:val="7B4F00"/>
                <w:sz w:val="20"/>
                <w:szCs w:val="20"/>
              </w:rPr>
              <w:t xml:space="preserve">Low (analysis)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Investigate and explain the negative fusion result. Test whether US adds information after RPM is controlled for, using partial correlation and ablation experiments.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High</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Low (analysis)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Add additional experimental sessions to fill the mixed-lubrication gap (kappa 0.6–0.9). Target intermediate temperature-RPM combinations.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High</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Medium (experiments)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Add a baseline comparator (e.g., RPM-normalised RMS threshold). Report performance stratified by kappa regime.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Medium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Low (analysis)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Expand to at least one additional lubricant viscosity grade and/or bearing geometry to begin establishing generalisability.</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Medium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High (experiments)</w:t>
            </w:r>
          </w:p>
        </w:tc>
      </w:tr>
      <w:tr>
        <w:tc>
          <w:tcPr>
            <w:tcW w:type="dxa" w:w="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9</w:t>
            </w:r>
          </w:p>
        </w:tc>
        <w:tc>
          <w:tcPr>
            <w:tcW w:type="dxa" w:w="5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Report Bayesian Ridge predictive uncertainty on the hold-out set. Include calibration analysis (reliability diagrams).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Medium</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Low (analysis)</w:t>
            </w:r>
          </w:p>
        </w:tc>
      </w:tr>
    </w:tbl>
    <w:p>
      <w:pPr>
        <w:spacing w:after="240" w:before="0"/>
      </w:pPr>
      <w:r>
        <w:t xml:space="preserve"/>
      </w:r>
    </w:p>
    <w:p>
      <w:pPr>
        <w:pStyle w:val="Heading1"/>
        <w:spacing w:after="160" w:before="320"/>
      </w:pPr>
      <w:r>
        <w:rPr>
          <w:rFonts w:ascii="Arial" w:cs="Arial" w:eastAsia="Arial" w:hAnsi="Arial"/>
          <w:b/>
          <w:bCs/>
          <w:color w:val="1F4E79"/>
          <w:sz w:val="32"/>
          <w:szCs w:val="32"/>
        </w:rPr>
        <w:t xml:space="preserve">8. Suggested Publication Pathway</w:t>
      </w:r>
    </w:p>
    <w:p>
      <w:pPr>
        <w:spacing w:after="100" w:before="80"/>
      </w:pPr>
      <w:r>
        <w:rPr>
          <w:rFonts w:ascii="Arial" w:cs="Arial" w:eastAsia="Arial" w:hAnsi="Arial"/>
          <w:sz w:val="22"/>
          <w:szCs w:val="22"/>
        </w:rPr>
        <w:t xml:space="preserve">Given the current state of the material, two possible pathways are recommended:</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Pathway A — Near-Term: Focused Measurement Science Paper</w:t>
      </w:r>
    </w:p>
    <w:p>
      <w:pPr>
        <w:spacing w:after="100" w:before="80"/>
      </w:pPr>
      <w:r>
        <w:rPr>
          <w:rFonts w:ascii="Arial" w:cs="Arial" w:eastAsia="Arial" w:hAnsi="Arial"/>
          <w:sz w:val="22"/>
          <w:szCs w:val="22"/>
        </w:rPr>
        <w:t xml:space="preserve">Scope: Physical interpretation and RPM-decoupled analysis of Hjorth mobility and spectral flatness as kappa indicators from AE signals only. Frame as a measurement science contribution rather than an ML regression study.</w:t>
      </w:r>
    </w:p>
    <w:p>
      <w:pPr>
        <w:spacing w:after="100" w:before="80"/>
      </w:pPr>
      <w:r>
        <w:rPr>
          <w:rFonts w:ascii="Arial" w:cs="Arial" w:eastAsia="Arial" w:hAnsi="Arial"/>
          <w:b/>
          <w:bCs/>
          <w:color w:val="000000"/>
          <w:sz w:val="22"/>
          <w:szCs w:val="22"/>
        </w:rPr>
        <w:t xml:space="preserve">Target journal: </w:t>
      </w:r>
      <w:r>
        <w:rPr>
          <w:rFonts w:ascii="Arial" w:cs="Arial" w:eastAsia="Arial" w:hAnsi="Arial"/>
          <w:sz w:val="22"/>
          <w:szCs w:val="22"/>
        </w:rPr>
        <w:t xml:space="preserve">Measurement Science and Technology (IOP) or Measurement (Elsevier). Impact factor ~3.5–4.5. More accessible than MSSP for a focused empirical study.</w:t>
      </w:r>
    </w:p>
    <w:p>
      <w:pPr>
        <w:spacing w:after="100" w:before="80"/>
      </w:pPr>
      <w:r>
        <w:rPr>
          <w:rFonts w:ascii="Arial" w:cs="Arial" w:eastAsia="Arial" w:hAnsi="Arial"/>
          <w:b/>
          <w:bCs/>
          <w:color w:val="000000"/>
          <w:sz w:val="22"/>
          <w:szCs w:val="22"/>
        </w:rPr>
        <w:t xml:space="preserve">Key conditions: </w:t>
      </w:r>
      <w:r>
        <w:rPr>
          <w:rFonts w:ascii="Arial" w:cs="Arial" w:eastAsia="Arial" w:hAnsi="Arial"/>
          <w:sz w:val="22"/>
          <w:szCs w:val="22"/>
        </w:rPr>
        <w:t xml:space="preserve">Requires actions 1, 3, and 4 above; VFD filter + decoupling experiment + RPM-normalised features.</w:t>
      </w:r>
    </w:p>
    <w:p>
      <w:pPr>
        <w:spacing w:after="100" w:before="80"/>
      </w:pPr>
      <w:r>
        <w:rPr>
          <w:rFonts w:ascii="Arial" w:cs="Arial" w:eastAsia="Arial" w:hAnsi="Arial"/>
          <w:b/>
          <w:bCs/>
          <w:color w:val="000000"/>
          <w:sz w:val="22"/>
          <w:szCs w:val="22"/>
        </w:rPr>
        <w:t xml:space="preserve">Differentiator: </w:t>
      </w:r>
      <w:r>
        <w:rPr>
          <w:rFonts w:ascii="Arial" w:cs="Arial" w:eastAsia="Arial" w:hAnsi="Arial"/>
          <w:sz w:val="22"/>
          <w:szCs w:val="22"/>
        </w:rPr>
        <w:t xml:space="preserve">The kappa-to-signal physics analysis (H1, H4) and the negative fusion result are genuinely novel findings not prominent in the existing LCM literature.</w:t>
      </w:r>
    </w:p>
    <w:p>
      <w:pPr>
        <w:spacing w:after="120" w:before="0"/>
      </w:pPr>
      <w:r>
        <w:t xml:space="preserve"/>
      </w:r>
    </w:p>
    <w:p>
      <w:pPr>
        <w:pStyle w:val="Heading2"/>
        <w:spacing w:after="120" w:before="240"/>
      </w:pPr>
      <w:r>
        <w:rPr>
          <w:rFonts w:ascii="Arial" w:cs="Arial" w:eastAsia="Arial" w:hAnsi="Arial"/>
          <w:b/>
          <w:bCs/>
          <w:color w:val="2E75B6"/>
          <w:sz w:val="26"/>
          <w:szCs w:val="26"/>
        </w:rPr>
        <w:t xml:space="preserve">Pathway B — Full Journal Paper (12–18 months)</w:t>
      </w:r>
    </w:p>
    <w:p>
      <w:pPr>
        <w:spacing w:after="100" w:before="80"/>
      </w:pPr>
      <w:r>
        <w:rPr>
          <w:rFonts w:ascii="Arial" w:cs="Arial" w:eastAsia="Arial" w:hAnsi="Arial"/>
          <w:sz w:val="22"/>
          <w:szCs w:val="22"/>
        </w:rPr>
        <w:t xml:space="preserve">Scope: Comprehensive study of AE and US features for continuous kappa regression, with full confounding analysis, expanded dataset (multiple lubricants, filled kappa range), true US wideband signals, and uncertainty-aware Bayesian modelling.</w:t>
      </w:r>
    </w:p>
    <w:p>
      <w:pPr>
        <w:spacing w:after="100" w:before="80"/>
      </w:pPr>
      <w:r>
        <w:rPr>
          <w:rFonts w:ascii="Arial" w:cs="Arial" w:eastAsia="Arial" w:hAnsi="Arial"/>
          <w:b/>
          <w:bCs/>
          <w:color w:val="000000"/>
          <w:sz w:val="22"/>
          <w:szCs w:val="22"/>
        </w:rPr>
        <w:t xml:space="preserve">Target journal: </w:t>
      </w:r>
      <w:r>
        <w:rPr>
          <w:rFonts w:ascii="Arial" w:cs="Arial" w:eastAsia="Arial" w:hAnsi="Arial"/>
          <w:sz w:val="22"/>
          <w:szCs w:val="22"/>
        </w:rPr>
        <w:t xml:space="preserve">Mechanical Systems and Signal Processing (MSSP) or Tribology International. Impact factor ~8–10.</w:t>
      </w:r>
    </w:p>
    <w:p>
      <w:pPr>
        <w:spacing w:after="100" w:before="80"/>
      </w:pPr>
      <w:r>
        <w:rPr>
          <w:rFonts w:ascii="Arial" w:cs="Arial" w:eastAsia="Arial" w:hAnsi="Arial"/>
          <w:b/>
          <w:bCs/>
          <w:color w:val="000000"/>
          <w:sz w:val="22"/>
          <w:szCs w:val="22"/>
        </w:rPr>
        <w:t xml:space="preserve">Key conditions: </w:t>
      </w:r>
      <w:r>
        <w:rPr>
          <w:rFonts w:ascii="Arial" w:cs="Arial" w:eastAsia="Arial" w:hAnsi="Arial"/>
          <w:sz w:val="22"/>
          <w:szCs w:val="22"/>
        </w:rPr>
        <w:t xml:space="preserve">Requires all actions 1–8 above. This is a larger effort but produces a significantly stronger paper.</w:t>
      </w:r>
    </w:p>
    <w:p>
      <w:pPr>
        <w:spacing w:after="120" w:before="0"/>
      </w:pPr>
      <w:r>
        <w:t xml:space="preserve"/>
      </w:r>
    </w:p>
    <w:p>
      <w:pPr>
        <w:pStyle w:val="Heading1"/>
        <w:spacing w:after="160" w:before="320"/>
      </w:pPr>
      <w:r>
        <w:rPr>
          <w:rFonts w:ascii="Arial" w:cs="Arial" w:eastAsia="Arial" w:hAnsi="Arial"/>
          <w:b/>
          <w:bCs/>
          <w:color w:val="1F4E79"/>
          <w:sz w:val="32"/>
          <w:szCs w:val="32"/>
        </w:rPr>
        <w:t xml:space="preserve">9. Summary</w:t>
      </w:r>
    </w:p>
    <w:p>
      <w:pPr>
        <w:spacing w:after="100" w:before="80"/>
      </w:pPr>
      <w:r>
        <w:rPr>
          <w:rFonts w:ascii="Arial" w:cs="Arial" w:eastAsia="Arial" w:hAnsi="Arial"/>
          <w:sz w:val="22"/>
          <w:szCs w:val="22"/>
        </w:rPr>
        <w:t xml:space="preserve">The CeramicSpeed AE/US analysis is a technically sound and carefully executed piece of research work. The signal processing pipeline is reproducible and methodologically rigorous by the standards of the field. The best current result — LightGBM on AE features at R² = 0.64 — is a meaningful signal, and several of the documented hypotheses (particularly around Hjorth mobility and envelope spectral flatness) are physically well-motivated and novel.</w:t>
      </w:r>
    </w:p>
    <w:p>
      <w:pPr>
        <w:spacing w:after="100" w:before="80"/>
      </w:pPr>
      <w:r>
        <w:rPr>
          <w:rFonts w:ascii="Arial" w:cs="Arial" w:eastAsia="Arial" w:hAnsi="Arial"/>
          <w:sz w:val="22"/>
          <w:szCs w:val="22"/>
        </w:rPr>
        <w:t xml:space="preserve">The primary barrier to publication is not the analysis itself but the </w:t>
      </w:r>
    </w:p>
    <w:p>
      <w:pPr>
        <w:spacing w:after="100" w:before="80"/>
      </w:pPr>
      <w:r>
        <w:rPr>
          <w:rFonts w:ascii="Arial" w:cs="Arial" w:eastAsia="Arial" w:hAnsi="Arial"/>
          <w:b/>
          <w:bCs/>
          <w:color w:val="000000"/>
          <w:sz w:val="22"/>
          <w:szCs w:val="22"/>
        </w:rPr>
        <w:t xml:space="preserve">experimental design</w:t>
      </w:r>
      <w:r>
        <w:rPr>
          <w:rFonts w:ascii="Arial" w:cs="Arial" w:eastAsia="Arial" w:hAnsi="Arial"/>
          <w:sz w:val="22"/>
          <w:szCs w:val="22"/>
        </w:rPr>
        <w:t xml:space="preserve">: the entanglement of RPM and kappa in the current dataset means that high-performing models cannot be clearly distinguished from RPM detectors. Resolving this requires additional experiments, not additional analysis. Once that barrier is cleared, the existing pipeline is well-positioned to produce publishable results quickly.</w:t>
      </w:r>
    </w:p>
    <w:p>
      <w:pPr>
        <w:spacing w:after="120" w:before="0"/>
      </w:pPr>
      <w:r>
        <w:t xml:space="preserve"/>
      </w:r>
    </w:p>
    <w:p>
      <w:pPr>
        <w:pBdr>
          <w:bottom w:val="single" w:color="2E75B6" w:sz="4" w:space="1"/>
        </w:pBdr>
        <w:spacing w:after="80" w:before="80"/>
      </w:pPr>
      <w:r>
        <w:t xml:space="preserve"/>
      </w:r>
    </w:p>
    <w:p>
      <w:pPr>
        <w:spacing w:after="80" w:before="80"/>
      </w:pPr>
      <w:r>
        <w:rPr>
          <w:rFonts w:ascii="Arial" w:cs="Arial" w:eastAsia="Arial" w:hAnsi="Arial"/>
          <w:i/>
          <w:iCs/>
          <w:sz w:val="22"/>
          <w:szCs w:val="22"/>
        </w:rPr>
        <w:t xml:space="preserve">Assessment prepared March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2" w:pos="9026"/>
      </w:tabs>
      <w:spacing w:after="0" w:before="80"/>
    </w:pPr>
    <w:r>
      <w:rPr>
        <w:rFonts w:ascii="Arial" w:cs="Arial" w:eastAsia="Arial" w:hAnsi="Arial"/>
        <w:color w:val="808080"/>
        <w:sz w:val="18"/>
        <w:szCs w:val="18"/>
      </w:rPr>
      <w:t xml:space="preserve">Frederik Appel Vardinghus-Nielsen — Confidential Draft</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2" w:pos="9026"/>
      </w:tabs>
      <w:spacing w:after="80" w:before="0"/>
    </w:pPr>
    <w:r>
      <w:rPr>
        <w:rFonts w:ascii="Arial" w:cs="Arial" w:eastAsia="Arial" w:hAnsi="Arial"/>
        <w:b/>
        <w:bCs/>
        <w:color w:val="2E75B6"/>
        <w:sz w:val="18"/>
        <w:szCs w:val="18"/>
      </w:rPr>
      <w:t xml:space="preserve">PUBLICATION ASSESSMENT</w:t>
    </w:r>
    <w:r>
      <w:rPr>
        <w:rFonts w:ascii="Arial" w:cs="Arial" w:eastAsia="Arial" w:hAnsi="Arial"/>
        <w:color w:val="808080"/>
        <w:sz w:val="18"/>
        <w:szCs w:val="18"/>
      </w:rPr>
      <w:t xml:space="preserve">	AE &amp; Ultrasound → Kappa Regression | CeramicSpeed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2026-03-26T15:12:10.636Z</dcterms:created>
  <dcterms:modified xsi:type="dcterms:W3CDTF">2026-03-26T15:12:10.636Z</dcterms:modified>
</cp:coreProperties>
</file>

<file path=docProps/custom.xml><?xml version="1.0" encoding="utf-8"?>
<Properties xmlns="http://schemas.openxmlformats.org/officeDocument/2006/custom-properties" xmlns:vt="http://schemas.openxmlformats.org/officeDocument/2006/docPropsVTypes"/>
</file>