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F4E79"/>
          <w:sz w:val="48"/>
          <w:szCs w:val="48"/>
        </w:rPr>
        <w:t xml:space="preserve">Publication Strategy</w:t>
      </w:r>
    </w:p>
    <w:p>
      <w:pPr>
        <w:spacing w:after="60" w:before="0"/>
      </w:pPr>
      <w:r>
        <w:rPr>
          <w:rFonts w:ascii="Arial" w:cs="Arial" w:eastAsia="Arial" w:hAnsi="Arial"/>
          <w:i/>
          <w:iCs/>
          <w:color w:val="404040"/>
          <w:sz w:val="27"/>
          <w:szCs w:val="27"/>
        </w:rPr>
        <w:t xml:space="preserve">AE and Passive Acoustic Regression to κ for Online, Non-Invasive Lubrication Condition Monitoring</w:t>
      </w:r>
    </w:p>
    <w:p>
      <w:pPr>
        <w:spacing w:after="240" w:before="0"/>
      </w:pPr>
      <w:r>
        <w:rPr>
          <w:rFonts w:ascii="Arial" w:cs="Arial" w:eastAsia="Arial" w:hAnsi="Arial"/>
          <w:color w:val="808080"/>
          <w:sz w:val="20"/>
          <w:szCs w:val="20"/>
        </w:rPr>
        <w:t xml:space="preserve">Revised assessment after review of literature survey — March 2026</w:t>
      </w:r>
    </w:p>
    <w:p>
      <w:pPr>
        <w:pBdr>
          <w:bottom w:val="single" w:color="2E75B6" w:sz="4" w:space="1"/>
        </w:pBdr>
        <w:spacing w:after="60" w:before="60"/>
      </w:pPr>
      <w:r>
        <w:t xml:space="preserve"/>
      </w:r>
    </w:p>
    <w:p>
      <w:pPr>
        <w:spacing w:after="120" w:before="0"/>
      </w:pPr>
      <w:r>
        <w:t xml:space="preserve"/>
      </w:r>
    </w:p>
    <w:p>
      <w:pPr>
        <w:pStyle w:val="Heading1"/>
        <w:spacing w:after="160" w:before="320"/>
      </w:pPr>
      <w:r>
        <w:rPr>
          <w:rFonts w:ascii="Arial" w:cs="Arial" w:eastAsia="Arial" w:hAnsi="Arial"/>
          <w:b/>
          <w:bCs/>
          <w:color w:val="1F4E79"/>
          <w:sz w:val="32"/>
          <w:szCs w:val="32"/>
        </w:rPr>
        <w:t xml:space="preserve">1. A Critical Reframing</w:t>
      </w:r>
    </w:p>
    <w:p>
      <w:pPr>
        <w:spacing w:after="100" w:before="80"/>
      </w:pPr>
      <w:r>
        <w:rPr>
          <w:rFonts w:ascii="Arial" w:cs="Arial" w:eastAsia="Arial" w:hAnsi="Arial"/>
          <w:sz w:val="22"/>
          <w:szCs w:val="22"/>
        </w:rPr>
        <w:t xml:space="preserve">The first assessment flagged the RPM–κ entanglement as a </w:t>
      </w:r>
      <w:r>
        <w:rPr>
          <w:rFonts w:ascii="Arial" w:cs="Arial" w:eastAsia="Arial" w:hAnsi="Arial"/>
          <w:b/>
          <w:bCs/>
          <w:color w:val="000000"/>
          <w:sz w:val="22"/>
          <w:szCs w:val="22"/>
        </w:rPr>
        <w:t xml:space="preserve">critical flaw</w:t>
      </w:r>
      <w:r>
        <w:rPr>
          <w:rFonts w:ascii="Arial" w:cs="Arial" w:eastAsia="Arial" w:hAnsi="Arial"/>
          <w:sz w:val="22"/>
          <w:szCs w:val="22"/>
        </w:rPr>
        <w:t xml:space="preserve">. Having now read the full literature review in detail, this assessment revises that verdict substantially. The entanglement is not a flaw in the experiment — it is </w:t>
      </w:r>
      <w:r>
        <w:rPr>
          <w:rFonts w:ascii="Arial" w:cs="Arial" w:eastAsia="Arial" w:hAnsi="Arial"/>
          <w:b/>
          <w:bCs/>
          <w:color w:val="000000"/>
          <w:sz w:val="22"/>
          <w:szCs w:val="22"/>
        </w:rPr>
        <w:t xml:space="preserve">an inherent physical property of κ itself</w:t>
      </w:r>
      <w:r>
        <w:rPr>
          <w:rFonts w:ascii="Arial" w:cs="Arial" w:eastAsia="Arial" w:hAnsi="Arial"/>
          <w:sz w:val="22"/>
          <w:szCs w:val="22"/>
        </w:rPr>
        <w:t xml:space="preserve">. The viscosity ratio κ is defined as:</w:t>
      </w:r>
    </w:p>
    <w:p>
      <w:pPr>
        <w:spacing w:after="60" w:before="60"/>
        <w:jc w:val="center"/>
      </w:pPr>
      <w:r>
        <w:rPr>
          <w:rFonts w:ascii="Arial" w:cs="Arial" w:eastAsia="Arial" w:hAnsi="Arial"/>
          <w:i/>
          <w:iCs/>
          <w:sz w:val="22"/>
          <w:szCs w:val="22"/>
        </w:rPr>
        <w:t xml:space="preserve">κ = ν₀ / ν₁(n, C_dyn, P)</w:t>
      </w:r>
    </w:p>
    <w:p>
      <w:pPr>
        <w:spacing w:after="100" w:before="80"/>
      </w:pPr>
      <w:r>
        <w:rPr>
          <w:rFonts w:ascii="Arial" w:cs="Arial" w:eastAsia="Arial" w:hAnsi="Arial"/>
          <w:sz w:val="22"/>
          <w:szCs w:val="22"/>
        </w:rPr>
        <w:t xml:space="preserve">where ν₀ is the actual kinematic viscosity (set by temperature and lubricant grade) and ν₁ is the reference viscosity required for full EHL at the current speed and load (per ISO 281 / Hamrock–Dowson). κ therefore encodes speed and temperature simultaneously. It cannot be high at low RPM without a very viscous oil, and it cannot be low at high RPM without a very thin oil. There is no experimental design that achieves “same κ at all RPMs” without varying the lubricant.</w:t>
      </w:r>
    </w:p>
    <w:p>
      <w:pPr>
        <w:spacing w:after="100" w:before="80"/>
      </w:pPr>
      <w:r>
        <w:rPr>
          <w:rFonts w:ascii="Arial" w:cs="Arial" w:eastAsia="Arial" w:hAnsi="Arial"/>
          <w:sz w:val="22"/>
          <w:szCs w:val="22"/>
        </w:rPr>
        <w:t xml:space="preserve">The </w:t>
      </w:r>
      <w:r>
        <w:rPr>
          <w:rFonts w:ascii="Arial" w:cs="Arial" w:eastAsia="Arial" w:hAnsi="Arial"/>
          <w:b/>
          <w:bCs/>
          <w:color w:val="000000"/>
          <w:sz w:val="22"/>
          <w:szCs w:val="22"/>
        </w:rPr>
        <w:t xml:space="preserve">kappa regression approach</w:t>
      </w:r>
      <w:r>
        <w:rPr>
          <w:rFonts w:ascii="Arial" w:cs="Arial" w:eastAsia="Arial" w:hAnsi="Arial"/>
          <w:sz w:val="22"/>
          <w:szCs w:val="22"/>
        </w:rPr>
        <w:t xml:space="preserve"> described in the literature review (attributed to Jakobsen et al., 2023) is explicitly designed to exploit this: by using κ as the regression target rather than a fault label, </w:t>
      </w:r>
      <w:r>
        <w:rPr>
          <w:rFonts w:ascii="Arial" w:cs="Arial" w:eastAsia="Arial" w:hAnsi="Arial"/>
          <w:b/>
          <w:bCs/>
          <w:color w:val="000000"/>
          <w:sz w:val="22"/>
          <w:szCs w:val="22"/>
        </w:rPr>
        <w:t xml:space="preserve">the model implicitly learns the operating-condition dependence</w:t>
      </w:r>
      <w:r>
        <w:rPr>
          <w:rFonts w:ascii="Arial" w:cs="Arial" w:eastAsia="Arial" w:hAnsi="Arial"/>
          <w:sz w:val="22"/>
          <w:szCs w:val="22"/>
        </w:rPr>
        <w:t xml:space="preserve"> through the physics of EHL. The literature review’s own comparative analysis states: “The κ regression approach is noteworthy as a principled strategy for passive methods: the learned model implicitly compensates for speed, load, and viscosity effects.” The CeramicSpeed experiment follows exactly this approach.</w:t>
      </w:r>
    </w:p>
    <w:p>
      <w:pPr>
        <w:spacing w:after="100" w:before="80"/>
      </w:pPr>
      <w:r>
        <w:rPr>
          <w:rFonts w:ascii="Arial" w:cs="Arial" w:eastAsia="Arial" w:hAnsi="Arial"/>
          <w:sz w:val="22"/>
          <w:szCs w:val="22"/>
        </w:rPr>
        <w:t xml:space="preserve">What </w:t>
      </w:r>
      <w:r>
        <w:rPr>
          <w:rFonts w:ascii="Arial" w:cs="Arial" w:eastAsia="Arial" w:hAnsi="Arial"/>
          <w:b/>
          <w:bCs/>
          <w:color w:val="000000"/>
          <w:sz w:val="22"/>
          <w:szCs w:val="22"/>
        </w:rPr>
        <w:t xml:space="preserve">does</w:t>
      </w:r>
      <w:r>
        <w:rPr>
          <w:rFonts w:ascii="Arial" w:cs="Arial" w:eastAsia="Arial" w:hAnsi="Arial"/>
          <w:sz w:val="22"/>
          <w:szCs w:val="22"/>
        </w:rPr>
        <w:t xml:space="preserve"> matter for distinguishing lubrication-sensitive features from RPM-proxies is whether a feature captures </w:t>
      </w:r>
      <w:r>
        <w:rPr>
          <w:rFonts w:ascii="Arial" w:cs="Arial" w:eastAsia="Arial" w:hAnsi="Arial"/>
          <w:b/>
          <w:bCs/>
          <w:color w:val="000000"/>
          <w:sz w:val="22"/>
          <w:szCs w:val="22"/>
        </w:rPr>
        <w:t xml:space="preserve">signal shape or structure</w:t>
      </w:r>
      <w:r>
        <w:rPr>
          <w:rFonts w:ascii="Arial" w:cs="Arial" w:eastAsia="Arial" w:hAnsi="Arial"/>
          <w:sz w:val="22"/>
          <w:szCs w:val="22"/>
        </w:rPr>
        <w:t xml:space="preserve"> (e.g., Hjorth mobility, spectral flatness, spectral kurtosis) rather than </w:t>
      </w:r>
      <w:r>
        <w:rPr>
          <w:rFonts w:ascii="Arial" w:cs="Arial" w:eastAsia="Arial" w:hAnsi="Arial"/>
          <w:b/>
          <w:bCs/>
          <w:color w:val="000000"/>
          <w:sz w:val="22"/>
          <w:szCs w:val="22"/>
        </w:rPr>
        <w:t xml:space="preserve">signal amplitude</w:t>
      </w:r>
      <w:r>
        <w:rPr>
          <w:rFonts w:ascii="Arial" w:cs="Arial" w:eastAsia="Arial" w:hAnsi="Arial"/>
          <w:sz w:val="22"/>
          <w:szCs w:val="22"/>
        </w:rPr>
        <w:t xml:space="preserve"> (RMS, peak, variance). Amplitude rises with both RPM and worsening lubrication, so it correlates with κ for confounded reasons. Shape features that respond to the </w:t>
      </w:r>
      <w:r>
        <w:rPr>
          <w:rFonts w:ascii="Arial" w:cs="Arial" w:eastAsia="Arial" w:hAnsi="Arial"/>
          <w:i/>
          <w:iCs/>
          <w:sz w:val="22"/>
          <w:szCs w:val="22"/>
        </w:rPr>
        <w:t xml:space="preserve">nature</w:t>
      </w:r>
      <w:r>
        <w:rPr>
          <w:rFonts w:ascii="Arial" w:cs="Arial" w:eastAsia="Arial" w:hAnsi="Arial"/>
          <w:sz w:val="22"/>
          <w:szCs w:val="22"/>
        </w:rPr>
        <w:t xml:space="preserve"> of the contacts — impulsive vs. smooth, broadband vs. tonal — are physically grounded kappa indicators regardless of operating speed. The partial Spearman analysis in Script 03, which controls for RPM in the correlation, is precisely the correct tool to demonstrate this, and its outputs should be the empirical centrepiece of the paper.</w:t>
      </w:r>
    </w:p>
    <w:p>
      <w:pPr>
        <w:spacing w:after="120" w:before="0"/>
      </w:pPr>
      <w:r>
        <w:t xml:space="preserve"/>
      </w:r>
    </w:p>
    <w:p>
      <w:pPr>
        <w:pStyle w:val="Heading1"/>
        <w:spacing w:after="160" w:before="320"/>
      </w:pPr>
      <w:r>
        <w:rPr>
          <w:rFonts w:ascii="Arial" w:cs="Arial" w:eastAsia="Arial" w:hAnsi="Arial"/>
          <w:b/>
          <w:bCs/>
          <w:color w:val="1F4E79"/>
          <w:sz w:val="32"/>
          <w:szCs w:val="32"/>
        </w:rPr>
        <w:t xml:space="preserve">2. What the Literature Review Reveals About Novelty</w:t>
      </w:r>
    </w:p>
    <w:p>
      <w:pPr>
        <w:spacing w:after="100" w:before="80"/>
      </w:pPr>
      <w:r>
        <w:rPr>
          <w:rFonts w:ascii="Arial" w:cs="Arial" w:eastAsia="Arial" w:hAnsi="Arial"/>
          <w:sz w:val="22"/>
          <w:szCs w:val="22"/>
        </w:rPr>
        <w:t xml:space="preserve">Reading the systematic review alongside the experimental results exposes several gaps that the CeramicSpeed experiment directly addresses. These are the publication’s strongest differentiators.</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2.1 Jakobsen et al. (2023) is the closest prior work — and leaves a clear opening</w:t>
      </w:r>
    </w:p>
    <w:p>
      <w:pPr>
        <w:spacing w:after="100" w:before="80"/>
      </w:pPr>
      <w:r>
        <w:rPr>
          <w:rFonts w:ascii="Arial" w:cs="Arial" w:eastAsia="Arial" w:hAnsi="Arial"/>
          <w:sz w:val="22"/>
          <w:szCs w:val="22"/>
        </w:rPr>
        <w:t xml:space="preserve">Jakobsen et al. (the most important reference for the kappa regression approach) use vibration and passive ultrasound from a 38–40 kHz handheld probe regressed to κ via LASSO and neural networks. This is research-stage (confirmed in the maturity table) and the closest analogue to the CeramicSpeed experiment. The critical difference is that the CeramicSpeed experiment uses:</w:t>
      </w:r>
    </w:p>
    <w:p>
      <w:pPr>
        <w:pStyle w:val="ListParagraph"/>
        <w:numPr>
          <w:ilvl w:val="0"/>
          <w:numId w:val="2"/>
        </w:numPr>
        <w:spacing w:after="40" w:before="40"/>
      </w:pPr>
      <w:r>
        <w:rPr>
          <w:rFonts w:ascii="Arial" w:cs="Arial" w:eastAsia="Arial" w:hAnsi="Arial"/>
          <w:sz w:val="22"/>
          <w:szCs w:val="22"/>
        </w:rPr>
        <w:t xml:space="preserve">Acoustic emission (AE) — broadband, typically 50 kHz to several MHz — instead of vibration as the primary high-frequency channel</w:t>
      </w:r>
    </w:p>
    <w:p>
      <w:pPr>
        <w:pStyle w:val="ListParagraph"/>
        <w:numPr>
          <w:ilvl w:val="0"/>
          <w:numId w:val="2"/>
        </w:numPr>
        <w:spacing w:after="40" w:before="40"/>
      </w:pPr>
      <w:r>
        <w:rPr>
          <w:rFonts w:ascii="Arial" w:cs="Arial" w:eastAsia="Arial" w:hAnsi="Arial"/>
          <w:sz w:val="22"/>
          <w:szCs w:val="22"/>
        </w:rPr>
        <w:t xml:space="preserve">A simultaneously acquired passive acoustic channel alongside the AE, enabling the first head-to-head comparison of the two modalities on an identical dataset</w:t>
      </w:r>
    </w:p>
    <w:p>
      <w:pPr>
        <w:pStyle w:val="ListParagraph"/>
        <w:numPr>
          <w:ilvl w:val="0"/>
          <w:numId w:val="2"/>
        </w:numPr>
        <w:spacing w:after="40" w:before="40"/>
      </w:pPr>
      <w:r>
        <w:rPr>
          <w:rFonts w:ascii="Arial" w:cs="Arial" w:eastAsia="Arial" w:hAnsi="Arial"/>
          <w:sz w:val="22"/>
          <w:szCs w:val="22"/>
        </w:rPr>
        <w:t xml:space="preserve">A systematic 26-feature evaluation (vs Jakobsen’s more limited feature set) with explicit feature selection via Spearman ranking and VIF analysis</w:t>
      </w:r>
    </w:p>
    <w:p>
      <w:pPr>
        <w:pStyle w:val="ListParagraph"/>
        <w:numPr>
          <w:ilvl w:val="0"/>
          <w:numId w:val="2"/>
        </w:numPr>
        <w:spacing w:after="40" w:before="40"/>
      </w:pPr>
      <w:r>
        <w:rPr>
          <w:rFonts w:ascii="Arial" w:cs="Arial" w:eastAsia="Arial" w:hAnsi="Arial"/>
          <w:sz w:val="22"/>
          <w:szCs w:val="22"/>
        </w:rPr>
        <w:t xml:space="preserve">Four regression model families benchmarked (vs a single LASSO + NN comparison)</w:t>
      </w:r>
    </w:p>
    <w:p>
      <w:pPr>
        <w:spacing w:after="100" w:before="80"/>
      </w:pPr>
      <w:r>
        <w:rPr>
          <w:rFonts w:ascii="Arial" w:cs="Arial" w:eastAsia="Arial" w:hAnsi="Arial"/>
          <w:sz w:val="22"/>
          <w:szCs w:val="22"/>
        </w:rPr>
        <w:t xml:space="preserve">The literature review’s master cross-reference matrix (Table in Section 5) confirms that </w:t>
      </w:r>
      <w:r>
        <w:rPr>
          <w:rFonts w:ascii="Arial" w:cs="Arial" w:eastAsia="Arial" w:hAnsi="Arial"/>
          <w:b/>
          <w:bCs/>
          <w:color w:val="000000"/>
          <w:sz w:val="22"/>
          <w:szCs w:val="22"/>
        </w:rPr>
        <w:t xml:space="preserve">AE + κ/Λ regression has been checked as demonstrated</w:t>
      </w:r>
      <w:r>
        <w:rPr>
          <w:rFonts w:ascii="Arial" w:cs="Arial" w:eastAsia="Arial" w:hAnsi="Arial"/>
          <w:sz w:val="22"/>
          <w:szCs w:val="22"/>
        </w:rPr>
        <w:t xml:space="preserve">, and </w:t>
      </w:r>
      <w:r>
        <w:rPr>
          <w:rFonts w:ascii="Arial" w:cs="Arial" w:eastAsia="Arial" w:hAnsi="Arial"/>
          <w:b/>
          <w:bCs/>
          <w:color w:val="000000"/>
          <w:sz w:val="22"/>
          <w:szCs w:val="22"/>
        </w:rPr>
        <w:t xml:space="preserve">passive ultrasound + κ/Λ regression has been checked</w:t>
      </w:r>
      <w:r>
        <w:rPr>
          <w:rFonts w:ascii="Arial" w:cs="Arial" w:eastAsia="Arial" w:hAnsi="Arial"/>
          <w:sz w:val="22"/>
          <w:szCs w:val="22"/>
        </w:rPr>
        <w:t xml:space="preserve">, but both are attributed to separate sensor-specific studies. The </w:t>
      </w:r>
      <w:r>
        <w:rPr>
          <w:rFonts w:ascii="Arial" w:cs="Arial" w:eastAsia="Arial" w:hAnsi="Arial"/>
          <w:b/>
          <w:bCs/>
          <w:color w:val="000000"/>
          <w:sz w:val="22"/>
          <w:szCs w:val="22"/>
        </w:rPr>
        <w:t xml:space="preserve">simultaneous dual-channel AE + passive acoustic acquisition regressed to κ in a unified modelling framework has not been demonstrated</w:t>
      </w:r>
      <w:r>
        <w:rPr>
          <w:rFonts w:ascii="Arial" w:cs="Arial" w:eastAsia="Arial" w:hAnsi="Arial"/>
          <w:sz w:val="22"/>
          <w:szCs w:val="22"/>
        </w:rPr>
        <w:t xml:space="preserve"> in any reviewed paper. This is the primary novelty of the experimental work.</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2.2 The experiment addresses Research Gap 5 directly</w:t>
      </w:r>
    </w:p>
    <w:p>
      <w:pPr>
        <w:spacing w:after="100" w:before="80"/>
      </w:pPr>
      <w:r>
        <w:rPr>
          <w:rFonts w:ascii="Arial" w:cs="Arial" w:eastAsia="Arial" w:hAnsi="Arial"/>
          <w:sz w:val="22"/>
          <w:szCs w:val="22"/>
        </w:rPr>
        <w:t xml:space="preserve">The literature review’s Gap 5 (Multi-Sensor Fusion for Passive Non-Invasive Sensing) states: </w:t>
      </w:r>
      <w:r>
        <w:rPr>
          <w:rFonts w:ascii="Arial" w:cs="Arial" w:eastAsia="Arial" w:hAnsi="Arial"/>
          <w:i/>
          <w:iCs/>
          <w:sz w:val="22"/>
          <w:szCs w:val="22"/>
        </w:rPr>
        <w:t xml:space="preserve">“The complementarity of AE, vibration, and passive ultrasound for lubrication fault detection is argued in multiple papers but not quantified in a unified experimental framework with a common ground-truth reference.”</w:t>
      </w:r>
    </w:p>
    <w:p>
      <w:pPr>
        <w:spacing w:after="100" w:before="80"/>
      </w:pPr>
      <w:r>
        <w:rPr>
          <w:rFonts w:ascii="Arial" w:cs="Arial" w:eastAsia="Arial" w:hAnsi="Arial"/>
          <w:sz w:val="22"/>
          <w:szCs w:val="22"/>
        </w:rPr>
        <w:t xml:space="preserve">The CeramicSpeed experiment is </w:t>
      </w:r>
      <w:r>
        <w:rPr>
          <w:rFonts w:ascii="Arial" w:cs="Arial" w:eastAsia="Arial" w:hAnsi="Arial"/>
          <w:b/>
          <w:bCs/>
          <w:color w:val="000000"/>
          <w:sz w:val="22"/>
          <w:szCs w:val="22"/>
        </w:rPr>
        <w:t xml:space="preserve">precisely</w:t>
      </w:r>
      <w:r>
        <w:rPr>
          <w:rFonts w:ascii="Arial" w:cs="Arial" w:eastAsia="Arial" w:hAnsi="Arial"/>
          <w:sz w:val="22"/>
          <w:szCs w:val="22"/>
        </w:rPr>
        <w:t xml:space="preserve"> this: a unified experimental framework for AE and passive acoustic with κ as the common ground-truth reference. Even the finding that combined model performance does not exceed AE alone is a direct, quantitative answer to the question posed in Gap 5 — and that answer is publishable because it </w:t>
      </w:r>
      <w:r>
        <w:rPr>
          <w:rFonts w:ascii="Arial" w:cs="Arial" w:eastAsia="Arial" w:hAnsi="Arial"/>
          <w:b/>
          <w:bCs/>
          <w:color w:val="000000"/>
          <w:sz w:val="22"/>
          <w:szCs w:val="22"/>
        </w:rPr>
        <w:t xml:space="preserve">disproves</w:t>
      </w:r>
      <w:r>
        <w:rPr>
          <w:rFonts w:ascii="Arial" w:cs="Arial" w:eastAsia="Arial" w:hAnsi="Arial"/>
          <w:sz w:val="22"/>
          <w:szCs w:val="22"/>
        </w:rPr>
        <w:t xml:space="preserve"> a hypothesis that is currently only “argued” but not tested.</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2.3 The experiment addresses Research Gap 1 (standardised dataset)</w:t>
      </w:r>
    </w:p>
    <w:p>
      <w:pPr>
        <w:spacing w:after="100" w:before="80"/>
      </w:pPr>
      <w:r>
        <w:rPr>
          <w:rFonts w:ascii="Arial" w:cs="Arial" w:eastAsia="Arial" w:hAnsi="Arial"/>
          <w:sz w:val="22"/>
          <w:szCs w:val="22"/>
        </w:rPr>
        <w:t xml:space="preserve">The review’s Gap 1 identifies the absence of standardised benchmark datasets for LCM and calls specifically for “multiple passive sensing modalities recorded simultaneously with κ as reference.” The HDF5 dataset with simultaneous AE and passive acoustic acquisition, combined with analytically derived κ values from bearing geometry, lubricant properties, and operating conditions, is </w:t>
      </w:r>
      <w:r>
        <w:rPr>
          <w:rFonts w:ascii="Arial" w:cs="Arial" w:eastAsia="Arial" w:hAnsi="Arial"/>
          <w:b/>
          <w:bCs/>
          <w:color w:val="000000"/>
          <w:sz w:val="22"/>
          <w:szCs w:val="22"/>
        </w:rPr>
        <w:t xml:space="preserve">the type of dataset that Gap 1 calls for</w:t>
      </w:r>
      <w:r>
        <w:rPr>
          <w:rFonts w:ascii="Arial" w:cs="Arial" w:eastAsia="Arial" w:hAnsi="Arial"/>
          <w:sz w:val="22"/>
          <w:szCs w:val="22"/>
        </w:rPr>
        <w:t xml:space="preserve">. Publishing the dataset alongside the paper (openly, e.g. on Zenodo) would substantially increase the paper’s long-term impact and citeability.</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2.4 AE + κ regression is at the research stage — and so is this paper</w:t>
      </w:r>
    </w:p>
    <w:p>
      <w:pPr>
        <w:spacing w:after="100" w:before="80"/>
      </w:pPr>
      <w:r>
        <w:rPr>
          <w:rFonts w:ascii="Arial" w:cs="Arial" w:eastAsia="Arial" w:hAnsi="Arial"/>
          <w:sz w:val="22"/>
          <w:szCs w:val="22"/>
        </w:rPr>
        <w:t xml:space="preserve">The technology maturity table in the review places kappa regression with passive ultrasound at the “Research” stage, citing only Jakobsen et al. (2023, 2024). This means a new experimental study at the research stage — with a clear framing as exploratory, as a first proof of concept, and with honest acknowledgement of limitations — is exactly what the field needs and what journals in this space will receive positively. The paper does not need to claim “this solves the problem”; it needs to claim “this is the first systematic exploration of AE+acoustic features for κ regression, revealing which features survive RPM normalisation, and establishing that single-modality AE outperforms fusion at this dataset scale.”</w:t>
      </w:r>
    </w:p>
    <w:p>
      <w:pPr>
        <w:spacing w:after="120" w:before="0"/>
      </w:pPr>
      <w:r>
        <w:t xml:space="preserve"/>
      </w:r>
    </w:p>
    <w:p>
      <w:pPr>
        <w:pStyle w:val="Heading1"/>
        <w:spacing w:after="160" w:before="320"/>
      </w:pPr>
      <w:r>
        <w:rPr>
          <w:rFonts w:ascii="Arial" w:cs="Arial" w:eastAsia="Arial" w:hAnsi="Arial"/>
          <w:b/>
          <w:bCs/>
          <w:color w:val="1F4E79"/>
          <w:sz w:val="32"/>
          <w:szCs w:val="32"/>
        </w:rPr>
        <w:t xml:space="preserve">3. Proposed Publication Framing</w:t>
      </w:r>
    </w:p>
    <w:p>
      <w:pPr>
        <w:pStyle w:val="Heading2"/>
        <w:spacing w:after="100" w:before="240"/>
      </w:pPr>
      <w:r>
        <w:rPr>
          <w:rFonts w:ascii="Arial" w:cs="Arial" w:eastAsia="Arial" w:hAnsi="Arial"/>
          <w:b/>
          <w:bCs/>
          <w:color w:val="2E75B6"/>
          <w:sz w:val="26"/>
          <w:szCs w:val="26"/>
        </w:rPr>
        <w:t xml:space="preserve">3.1 Suggested title</w:t>
      </w:r>
    </w:p>
    <w:p>
      <w:pPr>
        <w:pBdr>
          <w:left w:val="single" w:color="2E75B6" w:sz="12" w:space="8"/>
        </w:pBdr>
        <w:spacing w:after="120" w:before="120"/>
        <w:ind w:left="400"/>
      </w:pPr>
      <w:r>
        <w:rPr>
          <w:rFonts w:ascii="Arial" w:cs="Arial" w:eastAsia="Arial" w:hAnsi="Arial"/>
          <w:i/>
          <w:iCs/>
          <w:color w:val="1F4E79"/>
          <w:sz w:val="22"/>
          <w:szCs w:val="22"/>
        </w:rPr>
        <w:t xml:space="preserve">“Acoustic Emission and Passive Acoustic Features for Viscosity Ratio Regression in Ball Bearing Lubrication Condition Monitoring: An Exploratory Multi-Modal Study”</w:t>
      </w:r>
    </w:p>
    <w:p>
      <w:pPr>
        <w:spacing w:after="100" w:before="80"/>
      </w:pPr>
      <w:r>
        <w:rPr>
          <w:rFonts w:ascii="Arial" w:cs="Arial" w:eastAsia="Arial" w:hAnsi="Arial"/>
          <w:sz w:val="22"/>
          <w:szCs w:val="22"/>
        </w:rPr>
        <w:t xml:space="preserve">Alternative framing emphasising the online/non-invasive angle:</w:t>
      </w:r>
    </w:p>
    <w:p>
      <w:pPr>
        <w:pBdr>
          <w:left w:val="single" w:color="2E75B6" w:sz="12" w:space="8"/>
        </w:pBdr>
        <w:spacing w:after="120" w:before="120"/>
        <w:ind w:left="400"/>
      </w:pPr>
      <w:r>
        <w:rPr>
          <w:rFonts w:ascii="Arial" w:cs="Arial" w:eastAsia="Arial" w:hAnsi="Arial"/>
          <w:i/>
          <w:iCs/>
          <w:color w:val="1F4E79"/>
          <w:sz w:val="22"/>
          <w:szCs w:val="22"/>
        </w:rPr>
        <w:t xml:space="preserve">“Towards Online Non-Invasive Lubrication Condition Monitoring: Regression of the ISO 281 Viscosity Ratio κ from Simultaneous Acoustic Emission and Passive Ultrasound Signals”</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3.2 Contribution statement</w:t>
      </w:r>
    </w:p>
    <w:p>
      <w:pPr>
        <w:spacing w:after="100" w:before="80"/>
      </w:pPr>
      <w:r>
        <w:rPr>
          <w:rFonts w:ascii="Arial" w:cs="Arial" w:eastAsia="Arial" w:hAnsi="Arial"/>
          <w:sz w:val="22"/>
          <w:szCs w:val="22"/>
        </w:rPr>
        <w:t xml:space="preserve">The paper makes four contributions, each defensible with the current data:</w:t>
      </w:r>
    </w:p>
    <w:p>
      <w:pPr>
        <w:pStyle w:val="ListParagraph"/>
        <w:numPr>
          <w:ilvl w:val="0"/>
          <w:numId w:val="3"/>
        </w:numPr>
        <w:spacing w:after="40" w:before="60"/>
      </w:pPr>
      <w:r>
        <w:rPr>
          <w:rFonts w:ascii="Arial" w:cs="Arial" w:eastAsia="Arial" w:hAnsi="Arial"/>
          <w:b/>
          <w:bCs/>
          <w:color w:val="000000"/>
          <w:sz w:val="22"/>
          <w:szCs w:val="22"/>
        </w:rPr>
        <w:t xml:space="preserve">Novel sensor combination: </w:t>
      </w:r>
      <w:r>
        <w:rPr>
          <w:rFonts w:ascii="Arial" w:cs="Arial" w:eastAsia="Arial" w:hAnsi="Arial"/>
          <w:sz w:val="22"/>
          <w:szCs w:val="22"/>
        </w:rPr>
        <w:t xml:space="preserve">The first study to simultaneously acquire AE and passive acoustic signals from a ball bearing and regress both, individually and jointly, to the ISO 281 viscosity ratio κ using a common dataset and ground-truth reference.</w:t>
      </w:r>
    </w:p>
    <w:p>
      <w:pPr>
        <w:pStyle w:val="ListParagraph"/>
        <w:numPr>
          <w:ilvl w:val="0"/>
          <w:numId w:val="3"/>
        </w:numPr>
        <w:spacing w:after="40" w:before="40"/>
      </w:pPr>
      <w:r>
        <w:rPr>
          <w:rFonts w:ascii="Arial" w:cs="Arial" w:eastAsia="Arial" w:hAnsi="Arial"/>
          <w:b/>
          <w:bCs/>
          <w:color w:val="000000"/>
          <w:sz w:val="22"/>
          <w:szCs w:val="22"/>
        </w:rPr>
        <w:t xml:space="preserve">Systematic feature analysis: </w:t>
      </w:r>
      <w:r>
        <w:rPr>
          <w:rFonts w:ascii="Arial" w:cs="Arial" w:eastAsia="Arial" w:hAnsi="Arial"/>
          <w:sz w:val="22"/>
          <w:szCs w:val="22"/>
        </w:rPr>
        <w:t xml:space="preserve">A 26-feature evaluation across time and frequency domains identifies Hjorth mobility and spectral flatness as the most physically grounded κ-sensitive features for AE, and establishes via partial Spearman analysis which features survive speed normalisation.</w:t>
      </w:r>
    </w:p>
    <w:p>
      <w:pPr>
        <w:pStyle w:val="ListParagraph"/>
        <w:numPr>
          <w:ilvl w:val="0"/>
          <w:numId w:val="3"/>
        </w:numPr>
        <w:spacing w:after="40" w:before="40"/>
      </w:pPr>
      <w:r>
        <w:rPr>
          <w:rFonts w:ascii="Arial" w:cs="Arial" w:eastAsia="Arial" w:hAnsi="Arial"/>
          <w:b/>
          <w:bCs/>
          <w:color w:val="000000"/>
          <w:sz w:val="22"/>
          <w:szCs w:val="22"/>
        </w:rPr>
        <w:t xml:space="preserve">Quantified complementarity test: </w:t>
      </w:r>
      <w:r>
        <w:rPr>
          <w:rFonts w:ascii="Arial" w:cs="Arial" w:eastAsia="Arial" w:hAnsi="Arial"/>
          <w:sz w:val="22"/>
          <w:szCs w:val="22"/>
        </w:rPr>
        <w:t xml:space="preserve">The first quantitative test of the AE–passive acoustic complementarity hypothesis in a unified experimental framework. The finding that AE alone (R² ≈ 0.64) outperforms the combined model (R² ≈ 0.60) at this dataset scale is an informative negative result that directly addresses the open question identified in the literature.</w:t>
      </w:r>
    </w:p>
    <w:p>
      <w:pPr>
        <w:pStyle w:val="ListParagraph"/>
        <w:numPr>
          <w:ilvl w:val="0"/>
          <w:numId w:val="3"/>
        </w:numPr>
        <w:spacing w:after="60" w:before="40"/>
      </w:pPr>
      <w:r>
        <w:rPr>
          <w:rFonts w:ascii="Arial" w:cs="Arial" w:eastAsia="Arial" w:hAnsi="Arial"/>
          <w:b/>
          <w:bCs/>
          <w:color w:val="000000"/>
          <w:sz w:val="22"/>
          <w:szCs w:val="22"/>
        </w:rPr>
        <w:t xml:space="preserve">Open dataset: </w:t>
      </w:r>
      <w:r>
        <w:rPr>
          <w:rFonts w:ascii="Arial" w:cs="Arial" w:eastAsia="Arial" w:hAnsi="Arial"/>
          <w:sz w:val="22"/>
          <w:szCs w:val="22"/>
        </w:rPr>
        <w:t xml:space="preserve">A publicly available simultaneous AE + passive acoustic bearing dataset with analytically derived κ reference values, addressing the absence of standardised benchmark data identified as a primary gap in the field.</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3.3 Framing around the RPM–κ relationship</w:t>
      </w:r>
    </w:p>
    <w:p>
      <w:pPr>
        <w:spacing w:after="100" w:before="80"/>
      </w:pPr>
      <w:r>
        <w:rPr>
          <w:rFonts w:ascii="Arial" w:cs="Arial" w:eastAsia="Arial" w:hAnsi="Arial"/>
          <w:sz w:val="22"/>
          <w:szCs w:val="22"/>
        </w:rPr>
        <w:t xml:space="preserve">The paper should treat the RPM–κ physical coupling not as a limitation but as an opportunity to distinguish two classes of feature: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Feature class</w:t>
            </w:r>
          </w:p>
        </w:tc>
        <w:tc>
          <w:tcPr>
            <w:tcW w:type="dxa" w:w="3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Examples</w:t>
            </w:r>
          </w:p>
        </w:tc>
        <w:tc>
          <w:tcPr>
            <w:tcW w:type="dxa" w:w="3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Physical interpretation for LCM</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Amplitude / energy features</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RMS, peak, variance, std</w:t>
            </w:r>
          </w:p>
        </w:tc>
        <w:tc>
          <w:tcPr>
            <w:tcW w:type="dxa" w:w="3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Respond to both mechanical excitation amplitude (RPM) and contact energy (lubrication). High partial correlation with RPM after κ control. Use with RPM normalisation or exclude.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Shape / ratio features</w:t>
            </w:r>
          </w:p>
        </w:tc>
        <w:tc>
          <w:tcPr>
            <w:tcW w:type="dxa" w:w="3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Hjorth mobility, spectral flatness, crest factor, spectral kurtosis, normalised bandwidth</w:t>
            </w:r>
          </w:p>
        </w:tc>
        <w:tc>
          <w:tcPr>
            <w:tcW w:type="dxa" w:w="3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Respond to the character of contacts (impulsive vs. diffuse, broadband vs. tonal) rather than amplitude alone. More robust κ indicators across RPM variation. Retain after partial Spearman RPM control.</w:t>
            </w:r>
          </w:p>
        </w:tc>
      </w:tr>
    </w:tbl>
    <w:p>
      <w:pPr>
        <w:spacing w:after="120" w:before="0"/>
      </w:pPr>
      <w:r>
        <w:t xml:space="preserve"/>
      </w:r>
    </w:p>
    <w:p>
      <w:pPr>
        <w:spacing w:after="100" w:before="80"/>
      </w:pPr>
      <w:r>
        <w:rPr>
          <w:rFonts w:ascii="Arial" w:cs="Arial" w:eastAsia="Arial" w:hAnsi="Arial"/>
          <w:sz w:val="22"/>
          <w:szCs w:val="22"/>
        </w:rPr>
        <w:t xml:space="preserve">This feature classification is a result of the analysis, not a precondition of the experiment, and maps directly onto the “speed- and load-invariant SP” gap identified in the literature review. It should be framed as a finding that motivates future work on ratio-based and normalised feature design.</w:t>
      </w:r>
    </w:p>
    <w:p>
      <w:pPr>
        <w:spacing w:after="120" w:before="0"/>
      </w:pPr>
      <w:r>
        <w:t xml:space="preserve"/>
      </w:r>
    </w:p>
    <w:p>
      <w:pPr>
        <w:pStyle w:val="Heading1"/>
        <w:spacing w:after="160" w:before="320"/>
      </w:pPr>
      <w:r>
        <w:rPr>
          <w:rFonts w:ascii="Arial" w:cs="Arial" w:eastAsia="Arial" w:hAnsi="Arial"/>
          <w:b/>
          <w:bCs/>
          <w:color w:val="1F4E79"/>
          <w:sz w:val="32"/>
          <w:szCs w:val="32"/>
        </w:rPr>
        <w:t xml:space="preserve">4. Recommended Paper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3026"/>
      </w:tblGrid>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Section</w:t>
            </w:r>
          </w:p>
        </w:tc>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Status</w:t>
            </w:r>
          </w:p>
        </w:tc>
        <w:tc>
          <w:tcPr>
            <w:tcW w:type="dxa" w:w="3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Key content</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Introduction</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Write from scratch</w:t>
            </w:r>
          </w:p>
        </w:tc>
        <w:tc>
          <w:tcPr>
            <w:tcW w:type="dxa" w:w="3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Lubrication failure costs; passive non-invasive sensing motivation; κ regression as operating-condition-aware approach; gap: simultaneous AE+acoustic not demonstrated; contribution statement.</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Background: κ, Hamrock–Dowson, and signal origins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Write from scratch (~1 page)</w:t>
            </w:r>
          </w:p>
        </w:tc>
        <w:tc>
          <w:tcPr>
            <w:tcW w:type="dxa" w:w="3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Define κ (ISO 281), Stribeck curve with regime map, physical origin of AE (asperity stress waves) vs. acoustic (bulk propagation). Motivate shape features over amplitude features.</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3</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Experimental setup</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Adapt from Results_restructured.docx</w:t>
            </w:r>
          </w:p>
        </w:tc>
        <w:tc>
          <w:tcPr>
            <w:tcW w:type="dxa" w:w="3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Bearing and rig description, sensor mounting (AE + passive acoustic probe), DAQ settings, κ calculation from Walther viscosity + Hamrock–Dowson, operating conditions table, known limitations (VFD noise, heterodyning).</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4</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Signal processing pipeline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Adapt from pipeline docs</w:t>
            </w:r>
          </w:p>
        </w:tc>
        <w:tc>
          <w:tcPr>
            <w:tcW w:type="dxa" w:w="3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26-feature extraction (time + frequency domain), signal cleaning steps, feature selection (Spearman ranking, VIF, greedy redundancy reduction), retained feature subsets per sensor.</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5</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Feature analysis and RPM discussion</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New — uses Script 02+03 outputs</w:t>
            </w:r>
          </w:p>
        </w:tc>
        <w:tc>
          <w:tcPr>
            <w:tcW w:type="dxa" w:w="3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Feature correlation ranking (Spearman); partial Spearman controlling for RPM; amplitude vs. shape feature classification; frequency band analysis; EDA figures. Core physical discussion.</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6</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Regression modelling</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Adapt from Script 04 outputs</w:t>
            </w:r>
          </w:p>
        </w:tc>
        <w:tc>
          <w:tcPr>
            <w:tcW w:type="dxa" w:w="3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4 model families × 3 sensor configurations; 5-fold CV + hold-out evaluation; performance table; pred-vs-actual plots; negative fusion finding with discussion.</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7</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Discussion</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New — draws on H1–H7 hypotheses</w:t>
            </w:r>
          </w:p>
        </w:tc>
        <w:tc>
          <w:tcPr>
            <w:tcW w:type="dxa" w:w="3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Why AE outperforms acoustic; why fusion does not help at this scale; which hypotheses are confirmed vs. unconfirmed; limitations (dataset size, kappa range gap, VFD noise, heterodyning); outlook.</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8</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Conclusion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Write last (~0.5 page)</w:t>
            </w:r>
          </w:p>
        </w:tc>
        <w:tc>
          <w:tcPr>
            <w:tcW w:type="dxa" w:w="3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Key findings as numbered list; open questions; call for expanded dataset and additional sensors.</w:t>
            </w:r>
          </w:p>
        </w:tc>
      </w:tr>
    </w:tbl>
    <w:p>
      <w:pPr>
        <w:spacing w:after="240" w:before="0"/>
      </w:pPr>
      <w:r>
        <w:t xml:space="preserve"/>
      </w:r>
    </w:p>
    <w:p>
      <w:pPr>
        <w:pStyle w:val="Heading1"/>
        <w:spacing w:after="160" w:before="320"/>
      </w:pPr>
      <w:r>
        <w:rPr>
          <w:rFonts w:ascii="Arial" w:cs="Arial" w:eastAsia="Arial" w:hAnsi="Arial"/>
          <w:b/>
          <w:bCs/>
          <w:color w:val="1F4E79"/>
          <w:sz w:val="32"/>
          <w:szCs w:val="32"/>
        </w:rPr>
        <w:t xml:space="preserve">5. Specific Analysis Work Still Needed</w:t>
      </w:r>
    </w:p>
    <w:p>
      <w:pPr>
        <w:spacing w:after="100" w:before="80"/>
      </w:pPr>
      <w:r>
        <w:rPr>
          <w:rFonts w:ascii="Arial" w:cs="Arial" w:eastAsia="Arial" w:hAnsi="Arial"/>
          <w:sz w:val="22"/>
          <w:szCs w:val="22"/>
        </w:rPr>
        <w:t xml:space="preserve">The pipeline infrastructure is complete. The following targeted analyses are needed to fill publication-required gaps:</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5.1 Essential (must have before submission)</w:t>
      </w:r>
    </w:p>
    <w:p>
      <w:pPr>
        <w:pStyle w:val="ListParagraph"/>
        <w:numPr>
          <w:ilvl w:val="0"/>
          <w:numId w:val="2"/>
        </w:numPr>
        <w:spacing w:after="40" w:before="40"/>
      </w:pPr>
      <w:r>
        <w:rPr>
          <w:rFonts w:ascii="Arial" w:cs="Arial" w:eastAsia="Arial" w:hAnsi="Arial"/>
          <w:sz w:val="22"/>
          <w:szCs w:val="22"/>
        </w:rPr>
      </w:r>
    </w:p>
    <w:p>
      <w:pPr>
        <w:spacing w:after="100" w:before="80"/>
      </w:pPr>
      <w:r>
        <w:rPr>
          <w:rFonts w:ascii="Arial" w:cs="Arial" w:eastAsia="Arial" w:hAnsi="Arial"/>
          <w:b/>
          <w:bCs/>
          <w:color w:val="000000"/>
          <w:sz w:val="22"/>
          <w:szCs w:val="22"/>
        </w:rPr>
        <w:t xml:space="preserve">Partial Spearman analysis (Script 03) → incorporated into paper: </w:t>
      </w:r>
      <w:r>
        <w:rPr>
          <w:rFonts w:ascii="Arial" w:cs="Arial" w:eastAsia="Arial" w:hAnsi="Arial"/>
          <w:sz w:val="22"/>
          <w:szCs w:val="22"/>
        </w:rPr>
        <w:t xml:space="preserve">Run 03_frequency_band_analysis.py and use its RPM-partial Spearman outputs to rank features that survive speed control. This is the central empirical answer to the amplitude-vs-shape question and the paper’s most reviewable methodological contribution.</w:t>
      </w:r>
    </w:p>
    <w:p>
      <w:pPr>
        <w:pStyle w:val="ListParagraph"/>
        <w:numPr>
          <w:ilvl w:val="0"/>
          <w:numId w:val="2"/>
        </w:numPr>
        <w:spacing w:after="40" w:before="40"/>
      </w:pPr>
      <w:r>
        <w:rPr>
          <w:rFonts w:ascii="Arial" w:cs="Arial" w:eastAsia="Arial" w:hAnsi="Arial"/>
          <w:sz w:val="22"/>
          <w:szCs w:val="22"/>
        </w:rPr>
        <w:t xml:space="preserve">Feature-level investigation of the negative fusion result: compute pairwise inter-sensor Spearman correlations (already in inter_feature_correlation.png) and report feature overlap quantitatively. If top AE and acoustic features are strongly correlated with each other, fusion cannot help regardless of model family.</w:t>
      </w:r>
    </w:p>
    <w:p>
      <w:pPr>
        <w:pStyle w:val="ListParagraph"/>
        <w:numPr>
          <w:ilvl w:val="0"/>
          <w:numId w:val="2"/>
        </w:numPr>
        <w:spacing w:after="40" w:before="40"/>
      </w:pPr>
      <w:r>
        <w:rPr>
          <w:rFonts w:ascii="Arial" w:cs="Arial" w:eastAsia="Arial" w:hAnsi="Arial"/>
          <w:sz w:val="22"/>
          <w:szCs w:val="22"/>
        </w:rPr>
        <w:t xml:space="preserve">Stratified performance by κ regime: report model R², RMSE, and MAE separately for the three kappa bands (κ &lt; 0.5, 0.5–1.0, &gt; 1.0). This directly addresses the data-gap concern and is required by any tribology reviewer.</w:t>
      </w:r>
    </w:p>
    <w:p>
      <w:pPr>
        <w:pStyle w:val="ListParagraph"/>
        <w:numPr>
          <w:ilvl w:val="0"/>
          <w:numId w:val="2"/>
        </w:numPr>
        <w:spacing w:after="40" w:before="40"/>
      </w:pPr>
      <w:r>
        <w:rPr>
          <w:rFonts w:ascii="Arial" w:cs="Arial" w:eastAsia="Arial" w:hAnsi="Arial"/>
          <w:sz w:val="22"/>
          <w:szCs w:val="22"/>
        </w:rPr>
        <w:t xml:space="preserve">Description and characterisation of the heterodyned acoustic channel: explicitly state usable frequency range (~0–10 kHz) and discuss what physical information is and is not captured by this channel. Reframe “ultrasound” as “passive acoustic” or “downmixed acoustic emission” throughout.</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5.2 Recommended (strengthen the paper)</w:t>
      </w:r>
    </w:p>
    <w:p>
      <w:pPr>
        <w:pStyle w:val="ListParagraph"/>
        <w:numPr>
          <w:ilvl w:val="0"/>
          <w:numId w:val="2"/>
        </w:numPr>
        <w:spacing w:after="40" w:before="40"/>
      </w:pPr>
      <w:r>
        <w:rPr>
          <w:rFonts w:ascii="Arial" w:cs="Arial" w:eastAsia="Arial" w:hAnsi="Arial"/>
          <w:sz w:val="22"/>
          <w:szCs w:val="22"/>
        </w:rPr>
        <w:t xml:space="preserve">Baseline comparator: add an RPM-normalised RMS threshold rule (simple dB-above-reference) as a naïve baseline. Showing that Elastic Net at R² = 0.53 already outperforms this baseline is a meaningful practical claim.</w:t>
      </w:r>
    </w:p>
    <w:p>
      <w:pPr>
        <w:pStyle w:val="ListParagraph"/>
        <w:numPr>
          <w:ilvl w:val="0"/>
          <w:numId w:val="2"/>
        </w:numPr>
        <w:spacing w:after="40" w:before="40"/>
      </w:pPr>
      <w:r>
        <w:rPr>
          <w:rFonts w:ascii="Arial" w:cs="Arial" w:eastAsia="Arial" w:hAnsi="Arial"/>
          <w:sz w:val="22"/>
          <w:szCs w:val="22"/>
        </w:rPr>
        <w:t xml:space="preserve">Non-monotonicity test for envelope amplitude (H6): compute AE envelope mean per kappa bin and confirm or deny the predicted peak at κ ≈ 0.4–0.5. This is a direct test of a specific, physically motivated hypothesis.</w:t>
      </w:r>
    </w:p>
    <w:p>
      <w:pPr>
        <w:pStyle w:val="ListParagraph"/>
        <w:numPr>
          <w:ilvl w:val="0"/>
          <w:numId w:val="2"/>
        </w:numPr>
        <w:spacing w:after="40" w:before="40"/>
      </w:pPr>
      <w:r>
        <w:rPr>
          <w:rFonts w:ascii="Arial" w:cs="Arial" w:eastAsia="Arial" w:hAnsi="Arial"/>
          <w:sz w:val="22"/>
          <w:szCs w:val="22"/>
        </w:rPr>
        <w:t xml:space="preserve">Ensemble mean PSDs per κ bin: plot mean AE and acoustic PSD curves for each of the three kappa regimes on a shared axis. This is a single figure that communicates the frequency-domain evidence more directly than any table.</w:t>
      </w:r>
    </w:p>
    <w:p>
      <w:pPr>
        <w:pStyle w:val="ListParagraph"/>
        <w:numPr>
          <w:ilvl w:val="0"/>
          <w:numId w:val="2"/>
        </w:numPr>
        <w:spacing w:after="40" w:before="40"/>
      </w:pPr>
      <w:r>
        <w:rPr>
          <w:rFonts w:ascii="Arial" w:cs="Arial" w:eastAsia="Arial" w:hAnsi="Arial"/>
          <w:sz w:val="22"/>
          <w:szCs w:val="22"/>
        </w:rPr>
        <w:t xml:space="preserve">Uncertainty on model performance: report 95% confidence intervals on CV R² from the 5 fold splits. The fold-level CSVs are already generated and contain all necessary data.</w:t>
      </w:r>
    </w:p>
    <w:p>
      <w:pPr>
        <w:spacing w:after="120" w:before="0"/>
      </w:pPr>
      <w:r>
        <w:t xml:space="preserve"/>
      </w:r>
    </w:p>
    <w:p>
      <w:pPr>
        <w:pStyle w:val="Heading1"/>
        <w:spacing w:after="160" w:before="320"/>
      </w:pPr>
      <w:r>
        <w:rPr>
          <w:rFonts w:ascii="Arial" w:cs="Arial" w:eastAsia="Arial" w:hAnsi="Arial"/>
          <w:b/>
          <w:bCs/>
          <w:color w:val="1F4E79"/>
          <w:sz w:val="32"/>
          <w:szCs w:val="32"/>
        </w:rPr>
        <w:t xml:space="preserve">6. Target Journal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800"/>
        <w:gridCol w:w="1326"/>
        <w:gridCol w:w="3000"/>
      </w:tblGrid>
      <w:tr>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Journal</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Publisher</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IF</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Access</w:t>
            </w:r>
          </w:p>
        </w:tc>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Rationale</w:t>
            </w:r>
          </w:p>
        </w:tc>
      </w:tr>
      <w:tr>
        <w:tc>
          <w:tcPr>
            <w:tcW w:type="dxa" w:w="2600"/>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b/>
                <w:bCs/>
                <w:color w:val="1E6B3C"/>
                <w:sz w:val="22"/>
                <w:szCs w:val="22"/>
              </w:rPr>
              <w:t xml:space="preserve">Tribology Transactions</w:t>
            </w:r>
          </w:p>
        </w:tc>
        <w:tc>
          <w:tcPr>
            <w:tcW w:type="dxa" w:w="1300"/>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color w:val="1E6B3C"/>
                <w:sz w:val="20"/>
                <w:szCs w:val="20"/>
              </w:rPr>
              <w:t xml:space="preserve">Taylor &amp; Francis</w:t>
            </w:r>
          </w:p>
        </w:tc>
        <w:tc>
          <w:tcPr>
            <w:tcW w:type="dxa" w:w="800"/>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color w:val="1E6B3C"/>
                <w:sz w:val="20"/>
                <w:szCs w:val="20"/>
              </w:rPr>
              <w:t xml:space="preserve">~2.8</w:t>
            </w:r>
          </w:p>
        </w:tc>
        <w:tc>
          <w:tcPr>
            <w:tcW w:type="dxa" w:w="1326"/>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color w:val="1E6B3C"/>
                <w:sz w:val="20"/>
                <w:szCs w:val="20"/>
              </w:rPr>
              <w:t xml:space="preserve">Subscription</w:t>
            </w:r>
          </w:p>
        </w:tc>
        <w:tc>
          <w:tcPr>
            <w:tcW w:type="dxa" w:w="3000"/>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color w:val="1E6B3C"/>
                <w:sz w:val="20"/>
                <w:szCs w:val="20"/>
              </w:rPr>
              <w:t xml:space="preserve">Primary recommendation. Publishes exploratory AE and passive sensing studies for bearing lubrication. Scope matches exactly. Accepts studies at the research stage with honest framing. Jakobsen et al. (2024) published here.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2"/>
                <w:szCs w:val="22"/>
              </w:rPr>
              <w:t xml:space="preserve">Lubrication Science</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Wiley</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~2.5</w:t>
            </w:r>
          </w:p>
        </w:tc>
        <w:tc>
          <w:tcPr>
            <w:tcW w:type="dxa" w:w="1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Subscription</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Good fit for κ-regression framing and tribological physics discussion. Smaller community but high relevance. Shorter papers accepted.</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bCs/>
                <w:color w:val="000000"/>
                <w:sz w:val="22"/>
                <w:szCs w:val="22"/>
              </w:rPr>
              <w:t xml:space="preserve">Sensors (MDPI)</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MDPI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~3.9</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Open access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Open access, fast turnaround (~6 weeks). The ‘sensor fusion’ and ‘condition monitoring’ sections are active. Suitable if dataset openness and maximum readership are priorities. Less prestige than Taylor &amp; Francis for tribology community.</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22"/>
                <w:szCs w:val="22"/>
              </w:rPr>
              <w:t xml:space="preserve">Measurement (Elsevier)</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Elsevier</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~5.6</w:t>
            </w:r>
          </w:p>
        </w:tc>
        <w:tc>
          <w:tcPr>
            <w:tcW w:type="dxa" w:w="1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Subscription</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Higher impact factor; positions the work as a measurement/instrumentation contribution rather than a tribology study. Signal processing and sensor characterisation is a natural fit. May require slightly more emphasis on the instrumentation aspects.</w:t>
            </w:r>
          </w:p>
        </w:tc>
      </w:tr>
      <w:tr>
        <w:tc>
          <w:tcPr>
            <w:tcW w:type="dxa" w:w="26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b/>
                <w:bCs/>
                <w:color w:val="000000"/>
                <w:sz w:val="22"/>
                <w:szCs w:val="22"/>
              </w:rPr>
              <w:t xml:space="preserve">MSSP (later, after expansion)</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Elsevier</w:t>
            </w:r>
          </w:p>
        </w:tc>
        <w:tc>
          <w:tcPr>
            <w:tcW w:type="dxa" w:w="8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7B4F00"/>
                <w:sz w:val="20"/>
                <w:szCs w:val="20"/>
              </w:rPr>
              <w:t xml:space="preserve">~8.4</w:t>
            </w:r>
          </w:p>
        </w:tc>
        <w:tc>
          <w:tcPr>
            <w:tcW w:type="dxa" w:w="1326"/>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7B4F00"/>
                <w:sz w:val="20"/>
                <w:szCs w:val="20"/>
              </w:rPr>
              <w:t xml:space="preserve">Subscription</w:t>
            </w:r>
          </w:p>
        </w:tc>
        <w:tc>
          <w:tcPr>
            <w:tcW w:type="dxa" w:w="3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7B4F00"/>
                <w:sz w:val="20"/>
                <w:szCs w:val="20"/>
              </w:rPr>
              <w:t xml:space="preserve">Not yet. MSSP expects a comprehensive study with generalisation evidence. Target for the expanded dataset paper (multiple lubricants, additional bearings, second experimental campaign).</w:t>
            </w:r>
          </w:p>
        </w:tc>
      </w:tr>
    </w:tbl>
    <w:p>
      <w:pPr>
        <w:spacing w:after="240" w:before="0"/>
      </w:pPr>
      <w:r>
        <w:t xml:space="preserve"/>
      </w:r>
    </w:p>
    <w:p>
      <w:pPr>
        <w:pStyle w:val="Heading1"/>
        <w:spacing w:after="160" w:before="320"/>
      </w:pPr>
      <w:r>
        <w:rPr>
          <w:rFonts w:ascii="Arial" w:cs="Arial" w:eastAsia="Arial" w:hAnsi="Arial"/>
          <w:b/>
          <w:bCs/>
          <w:color w:val="1F4E79"/>
          <w:sz w:val="32"/>
          <w:szCs w:val="32"/>
        </w:rPr>
        <w:t xml:space="preserve">7. Limitations to State Explicitly (Not Hide)</w:t>
      </w:r>
    </w:p>
    <w:p>
      <w:pPr>
        <w:spacing w:after="100" w:before="80"/>
      </w:pPr>
      <w:r>
        <w:rPr>
          <w:rFonts w:ascii="Arial" w:cs="Arial" w:eastAsia="Arial" w:hAnsi="Arial"/>
          <w:sz w:val="22"/>
          <w:szCs w:val="22"/>
        </w:rPr>
        <w:t xml:space="preserve">The following limitations should appear in a dedicated limitations subsection of the Discussion. Stating them clearly reduces review friction and frames the work as exploratory rather than definitive.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Limitation</w:t>
            </w:r>
          </w:p>
        </w:tc>
        <w:tc>
          <w:tcPr>
            <w:tcW w:type="dxa" w:w="6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How to frame it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Single bearing, single lubricant</w:t>
            </w:r>
          </w:p>
        </w:tc>
        <w:tc>
          <w:tcPr>
            <w:tcW w:type="dxa" w:w="6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All results are specific to this bearing-lubricant combination. Generalisation to other configurations is an open question and a priority for follow-on work. The dataset is published openly to enable cross-study comparison.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Heterodyned acoustic channel</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The passive acoustic channel is frequency-limited to ~0–10 kHz due to heterodyning; it does not provide true wideband ultrasonic information. We refer to it throughout as ‘passive acoustic’ rather than ‘ultrasound’. Comparison with a wideband AE probe is a direct extension of this work.</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Data gap at κ = 0.6–0.9</w:t>
            </w:r>
          </w:p>
        </w:tc>
        <w:tc>
          <w:tcPr>
            <w:tcW w:type="dxa" w:w="6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The mixed lubrication regime is underrepresented due to the discrete temperature set-points used. Stratified metrics by regime are reported to characterise this limitation explicitly. Additional experiments targeting intermediate conditions are planned.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VFD harmonic content</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Harmonic artefacts from the variable-frequency drive at 5 kHz and multiples are present in the low-frequency range. Affected frequency bands are identified and excluded from the feature analysis. A filter is planned for future experiments.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Dataset scale and split reliability</w:t>
            </w:r>
          </w:p>
        </w:tc>
        <w:tc>
          <w:tcPr>
            <w:tcW w:type="dxa" w:w="6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The dataset yields a limited number of sweeps for hold-out evaluation. Model performance is reported with 95% confidence intervals from 5-fold cross-validation. The random hold-out split may produce variance in HO metrics.</w:t>
            </w:r>
          </w:p>
        </w:tc>
      </w:tr>
    </w:tbl>
    <w:p>
      <w:pPr>
        <w:spacing w:after="240" w:before="0"/>
      </w:pPr>
      <w:r>
        <w:t xml:space="preserve"/>
      </w:r>
    </w:p>
    <w:p>
      <w:pPr>
        <w:pStyle w:val="Heading1"/>
        <w:spacing w:after="160" w:before="320"/>
      </w:pPr>
      <w:r>
        <w:rPr>
          <w:rFonts w:ascii="Arial" w:cs="Arial" w:eastAsia="Arial" w:hAnsi="Arial"/>
          <w:b/>
          <w:bCs/>
          <w:color w:val="1F4E79"/>
          <w:sz w:val="32"/>
          <w:szCs w:val="32"/>
        </w:rPr>
        <w:t xml:space="preserve">8. Suggested Abstract Draft</w:t>
      </w:r>
    </w:p>
    <w:p>
      <w:pPr>
        <w:pBdr>
          <w:top w:val="single" w:color="BFBFBF" w:sz="2" w:space="4"/>
          <w:bottom w:val="single" w:color="BFBFBF" w:sz="2" w:space="4"/>
          <w:left w:val="single" w:color="BFBFBF" w:sz="2" w:space="4"/>
          <w:right w:val="single" w:color="BFBFBF" w:sz="2" w:space="4"/>
        </w:pBdr>
        <w:shd w:fill="F2F2F2" w:val="clear"/>
        <w:spacing w:after="120" w:before="120"/>
        <w:ind w:left="200" w:right="200"/>
      </w:pPr>
      <w:r>
        <w:rPr>
          <w:rFonts w:ascii="Arial" w:cs="Arial" w:eastAsia="Arial" w:hAnsi="Arial"/>
          <w:i/>
          <w:iCs/>
          <w:color w:val="808080"/>
          <w:sz w:val="18"/>
          <w:szCs w:val="18"/>
        </w:rPr>
        <w:t xml:space="preserve">Draft abstract — revise after paper is written</w:t>
      </w:r>
    </w:p>
    <w:p>
      <w:pPr>
        <w:spacing w:after="120" w:before="0"/>
      </w:pPr>
      <w:r>
        <w:t xml:space="preserve"/>
      </w:r>
    </w:p>
    <w:p>
      <w:pPr>
        <w:spacing w:after="100" w:before="80"/>
      </w:pPr>
      <w:r>
        <w:rPr>
          <w:rFonts w:ascii="Arial" w:cs="Arial" w:eastAsia="Arial" w:hAnsi="Arial"/>
          <w:i/>
          <w:iCs/>
          <w:sz w:val="22"/>
          <w:szCs w:val="22"/>
        </w:rPr>
        <w:t xml:space="preserve">Inadequate lubrication causes an estimated 30–80% of rolling element bearing failures, yet reliable online, non-invasive lubrication condition monitoring (LCM) remains an open engineering problem. Passive sensor-based approaches — requiring no bearing modification — are most suitable for industrial retrofit, but the signal processing challenge of extracting lubrication-relevant information from confounded sensor signals has not been systematically characterised for simultaneous acoustic emission (AE) and passive acoustic sensing. This paper presents an exploratory study of AE and passive acoustic feature regression to the ISO 281 viscosity ratio κ as a physics-grounded, operating-condition-aware LCM target. A ball bearing instrumented with both sensor types was operated across two temperature set-points and five speed levels, producing analytically derived κ values spanning boundary and full-film lubrication regimes. Twenty-six time-domain and frequency-domain features were extracted per sensor per sweep and evaluated by Spearman rank correlation and partial correlation controlling for speed. Hjorth mobility and spectral flatness emerged as the most robust κ-sensitive AE features, with partial correlations surviving speed normalisation. Four regression model families were evaluated; gradient-boosted regression on AE features alone achieved the best hold-out R² = 0.64. Sensor fusion did not improve performance over AE alone at this dataset scale — a finding attributed to the limited frequency content of the heterodyned acoustic channel and the correlated feature space between sensors. The results motivate the design of ratio-based, amplitude-normalised features as operating-condition-robust LCM indicators and provide a first benchmark for simultaneous AE–acoustic κ regression. The dataset is made publicly available to support standardised comparison across methods.</w:t>
      </w:r>
    </w:p>
    <w:p>
      <w:pPr>
        <w:spacing w:after="120" w:before="0"/>
      </w:pPr>
      <w:r>
        <w:t xml:space="preserve"/>
      </w:r>
    </w:p>
    <w:p>
      <w:pPr>
        <w:spacing w:after="80" w:before="0"/>
      </w:pPr>
      <w:r>
        <w:rPr>
          <w:rFonts w:ascii="Arial" w:cs="Arial" w:eastAsia="Arial" w:hAnsi="Arial"/>
          <w:sz w:val="22"/>
          <w:szCs w:val="22"/>
        </w:rPr>
        <w:t xml:space="preserve">Approximate word count: ~290. </w:t>
      </w:r>
      <w:r>
        <w:rPr>
          <w:rFonts w:ascii="Arial" w:cs="Arial" w:eastAsia="Arial" w:hAnsi="Arial"/>
          <w:i/>
          <w:iCs/>
          <w:sz w:val="22"/>
          <w:szCs w:val="22"/>
        </w:rPr>
        <w:t xml:space="preserve">Adjust emphasis once sections are written.</w:t>
      </w:r>
    </w:p>
    <w:p>
      <w:pPr>
        <w:spacing w:after="120" w:before="0"/>
      </w:pPr>
      <w:r>
        <w:t xml:space="preserve"/>
      </w:r>
    </w:p>
    <w:p>
      <w:pPr>
        <w:pBdr>
          <w:bottom w:val="single" w:color="2E75B6" w:sz="4" w:space="1"/>
        </w:pBdr>
        <w:spacing w:after="60" w:before="60"/>
      </w:pPr>
      <w:r>
        <w:t xml:space="preserve"/>
      </w:r>
    </w:p>
    <w:p>
      <w:pPr>
        <w:spacing w:after="100" w:before="80"/>
      </w:pPr>
      <w:r>
        <w:rPr>
          <w:rFonts w:ascii="Arial" w:cs="Arial" w:eastAsia="Arial" w:hAnsi="Arial"/>
          <w:sz w:val="22"/>
          <w:szCs w:val="22"/>
        </w:rPr>
        <w:t xml:space="preserve">The experimental work is closer to publishable than the first assessment suggested. The pipeline is sound, the findings are genuine, and the framing as an exploratory study with an open dataset directly addresses known gaps in the literature review. The priority effort is: (1) run the partial Spearman RPM-control analysis and foreground its results, (2) characterise the acoustic channel bandwidth honestly, (3) add stratified regime performance, and (4) write the two new sections (Background and Discussion) around the hypotheses already documented in Results_restructured.docx.</w:t>
      </w:r>
    </w:p>
    <w:p>
      <w:pPr>
        <w:spacing w:after="120" w:before="0"/>
      </w:pPr>
      <w:r>
        <w:t xml:space="preserve"/>
      </w:r>
    </w:p>
    <w:p>
      <w:pPr>
        <w:spacing w:after="80" w:before="80"/>
      </w:pPr>
      <w:r>
        <w:rPr>
          <w:rFonts w:ascii="Arial" w:cs="Arial" w:eastAsia="Arial" w:hAnsi="Arial"/>
          <w:i/>
          <w:iCs/>
          <w:sz w:val="22"/>
          <w:szCs w:val="22"/>
        </w:rPr>
        <w:t xml:space="preserve">Strategy document prepared March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2" w:pos="9026"/>
      </w:tabs>
      <w:spacing w:after="0" w:before="80"/>
    </w:pPr>
    <w:r>
      <w:rPr>
        <w:rFonts w:ascii="Arial" w:cs="Arial" w:eastAsia="Arial" w:hAnsi="Arial"/>
        <w:color w:val="808080"/>
        <w:sz w:val="18"/>
        <w:szCs w:val="18"/>
      </w:rPr>
      <w:t xml:space="preserve">Frederik Appel Vardinghus-Nielsen — Confidential Draft</w:t>
    </w:r>
    <w:r>
      <w:rPr>
        <w:rFonts w:ascii="Arial" w:cs="Arial" w:eastAsia="Arial" w:hAnsi="Arial"/>
        <w:color w:val="808080"/>
        <w:sz w:val="18"/>
        <w:szCs w:val="18"/>
      </w:rPr>
      <w:t xml:space="preserve">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2" w:pos="9026"/>
      </w:tabs>
      <w:spacing w:after="80" w:before="0"/>
    </w:pPr>
    <w:r>
      <w:rPr>
        <w:rFonts w:ascii="Arial" w:cs="Arial" w:eastAsia="Arial" w:hAnsi="Arial"/>
        <w:b/>
        <w:bCs/>
        <w:color w:val="2E75B6"/>
        <w:sz w:val="18"/>
        <w:szCs w:val="18"/>
      </w:rPr>
      <w:t xml:space="preserve">PUBLICATION STRATEGY</w:t>
    </w:r>
    <w:r>
      <w:rPr>
        <w:rFonts w:ascii="Arial" w:cs="Arial" w:eastAsia="Arial" w:hAnsi="Arial"/>
        <w:color w:val="808080"/>
        <w:sz w:val="18"/>
        <w:szCs w:val="18"/>
      </w:rPr>
      <w:t xml:space="preserve">	AE &amp; Passive Acoustic → κ Regression | Exploratory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2026-03-26T15:23:34.011Z</dcterms:created>
  <dcterms:modified xsi:type="dcterms:W3CDTF">2026-03-26T15:23:34.011Z</dcterms:modified>
</cp:coreProperties>
</file>

<file path=docProps/custom.xml><?xml version="1.0" encoding="utf-8"?>
<Properties xmlns="http://schemas.openxmlformats.org/officeDocument/2006/custom-properties" xmlns:vt="http://schemas.openxmlformats.org/officeDocument/2006/docPropsVTypes"/>
</file>