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F6B46" w14:textId="3A06D7D4" w:rsidR="002A19DA" w:rsidRDefault="00834E26" w:rsidP="002A19DA">
      <w:pPr>
        <w:jc w:val="right"/>
        <w:rPr>
          <w:rFonts w:ascii="Times New Roman" w:hAnsi="Times New Roman"/>
          <w:lang w:val="en-US"/>
        </w:rPr>
      </w:pPr>
      <w:r>
        <w:rPr>
          <w:rFonts w:ascii="Times New Roman" w:hAnsi="Times New Roman"/>
          <w:noProof/>
          <w:lang w:val="en-US"/>
        </w:rPr>
        <mc:AlternateContent>
          <mc:Choice Requires="wps">
            <w:drawing>
              <wp:anchor distT="0" distB="0" distL="114300" distR="114300" simplePos="0" relativeHeight="251663360" behindDoc="0" locked="0" layoutInCell="1" allowOverlap="1" wp14:anchorId="46F4DD60" wp14:editId="4CCAA5DE">
                <wp:simplePos x="0" y="0"/>
                <wp:positionH relativeFrom="margin">
                  <wp:posOffset>-476885</wp:posOffset>
                </wp:positionH>
                <wp:positionV relativeFrom="paragraph">
                  <wp:posOffset>-718820</wp:posOffset>
                </wp:positionV>
                <wp:extent cx="6464300" cy="1840576"/>
                <wp:effectExtent l="0" t="0" r="12700" b="2667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4300" cy="1840576"/>
                        </a:xfrm>
                        <a:prstGeom prst="rect">
                          <a:avLst/>
                        </a:prstGeom>
                        <a:solidFill>
                          <a:srgbClr val="FFFFFF"/>
                        </a:solidFill>
                        <a:ln w="9525">
                          <a:solidFill>
                            <a:srgbClr val="000000"/>
                          </a:solidFill>
                          <a:miter lim="800000"/>
                          <a:headEnd/>
                          <a:tailEnd/>
                        </a:ln>
                      </wps:spPr>
                      <wps:txbx>
                        <w:txbxContent>
                          <w:p w14:paraId="21E75CF8" w14:textId="77777777" w:rsidR="002A19DA" w:rsidRDefault="002A19DA" w:rsidP="002A19DA">
                            <w:pPr>
                              <w:spacing w:after="0"/>
                              <w:jc w:val="center"/>
                            </w:pPr>
                            <w:proofErr w:type="spellStart"/>
                            <w:r>
                              <w:t>Biarkan</w:t>
                            </w:r>
                            <w:proofErr w:type="spellEnd"/>
                            <w:r>
                              <w:t xml:space="preserve"> </w:t>
                            </w:r>
                            <w:proofErr w:type="spellStart"/>
                            <w:r>
                              <w:t>kotak</w:t>
                            </w:r>
                            <w:proofErr w:type="spellEnd"/>
                            <w:r>
                              <w:t xml:space="preserve"> </w:t>
                            </w:r>
                            <w:proofErr w:type="spellStart"/>
                            <w:r>
                              <w:t>ini</w:t>
                            </w:r>
                            <w:proofErr w:type="spellEnd"/>
                            <w:r>
                              <w:t xml:space="preserve"> </w:t>
                            </w:r>
                            <w:proofErr w:type="spellStart"/>
                            <w:r>
                              <w:t>kosong</w:t>
                            </w:r>
                            <w:proofErr w:type="spellEnd"/>
                          </w:p>
                          <w:p w14:paraId="43E657BB" w14:textId="0FE31320" w:rsidR="002A19DA" w:rsidRDefault="002A19DA" w:rsidP="002A19DA">
                            <w:pPr>
                              <w:spacing w:after="0"/>
                              <w:jc w:val="center"/>
                            </w:pPr>
                            <w:proofErr w:type="spellStart"/>
                            <w:r>
                              <w:t>Sila</w:t>
                            </w:r>
                            <w:r w:rsidR="00F97536">
                              <w:t>h</w:t>
                            </w:r>
                            <w:r>
                              <w:t>kan</w:t>
                            </w:r>
                            <w:proofErr w:type="spellEnd"/>
                            <w:r>
                              <w:t xml:space="preserve"> </w:t>
                            </w:r>
                            <w:proofErr w:type="spellStart"/>
                            <w:r>
                              <w:t>kirim</w:t>
                            </w:r>
                            <w:proofErr w:type="spellEnd"/>
                            <w:r>
                              <w:t xml:space="preserve"> online </w:t>
                            </w:r>
                            <w:hyperlink r:id="rId8" w:history="1">
                              <w:r w:rsidRPr="00B67D91">
                                <w:rPr>
                                  <w:rStyle w:val="Hyperlink"/>
                                </w:rPr>
                                <w:t>http://jurnal-itsi.org/index.php/jitsi/login</w:t>
                              </w:r>
                            </w:hyperlink>
                            <w:r>
                              <w:t xml:space="preserve"> </w:t>
                            </w:r>
                            <w:proofErr w:type="spellStart"/>
                            <w:r>
                              <w:t>dalam</w:t>
                            </w:r>
                            <w:proofErr w:type="spellEnd"/>
                            <w:r>
                              <w:t xml:space="preserve"> file DOC</w:t>
                            </w:r>
                          </w:p>
                          <w:p w14:paraId="76C07F44" w14:textId="77777777" w:rsidR="002A19DA" w:rsidRPr="0049704C" w:rsidRDefault="002A19DA" w:rsidP="002A19DA">
                            <w:pPr>
                              <w:spacing w:after="0"/>
                              <w:jc w:val="center"/>
                              <w:rPr>
                                <w:lang w:val="id-ID"/>
                              </w:rPr>
                            </w:pPr>
                            <w:r>
                              <w:t xml:space="preserve">Editor </w:t>
                            </w:r>
                            <w:proofErr w:type="spellStart"/>
                            <w:r>
                              <w:t>tidak</w:t>
                            </w:r>
                            <w:proofErr w:type="spellEnd"/>
                            <w:r>
                              <w:t xml:space="preserve"> </w:t>
                            </w:r>
                            <w:proofErr w:type="spellStart"/>
                            <w:r>
                              <w:t>akan</w:t>
                            </w:r>
                            <w:proofErr w:type="spellEnd"/>
                            <w:r>
                              <w:t xml:space="preserve"> </w:t>
                            </w:r>
                            <w:proofErr w:type="spellStart"/>
                            <w:r>
                              <w:t>menerima</w:t>
                            </w:r>
                            <w:proofErr w:type="spellEnd"/>
                            <w:r>
                              <w:t xml:space="preserve"> </w:t>
                            </w:r>
                            <w:proofErr w:type="spellStart"/>
                            <w:r>
                              <w:t>pengiriman</w:t>
                            </w:r>
                            <w:proofErr w:type="spellEnd"/>
                            <w:r>
                              <w:t xml:space="preserve"> </w:t>
                            </w:r>
                            <w:proofErr w:type="spellStart"/>
                            <w:r>
                              <w:t>melalui</w:t>
                            </w:r>
                            <w:proofErr w:type="spellEnd"/>
                            <w:r>
                              <w:t xml:space="preserve"> email. </w:t>
                            </w:r>
                            <w:proofErr w:type="spellStart"/>
                            <w:r>
                              <w:t>Pastikan</w:t>
                            </w:r>
                            <w:proofErr w:type="spellEnd"/>
                            <w:r>
                              <w:t xml:space="preserve"> </w:t>
                            </w:r>
                            <w:proofErr w:type="spellStart"/>
                            <w:r>
                              <w:t>untuk</w:t>
                            </w:r>
                            <w:proofErr w:type="spellEnd"/>
                            <w:r>
                              <w:t xml:space="preserve"> </w:t>
                            </w:r>
                            <w:proofErr w:type="spellStart"/>
                            <w:r>
                              <w:t>memeriksa</w:t>
                            </w:r>
                            <w:proofErr w:type="spellEnd"/>
                            <w:r>
                              <w:t xml:space="preserve"> </w:t>
                            </w:r>
                            <w:proofErr w:type="spellStart"/>
                            <w:r>
                              <w:t>plagiat</w:t>
                            </w:r>
                            <w:proofErr w:type="spellEnd"/>
                            <w:r>
                              <w:t xml:space="preserve">, </w:t>
                            </w:r>
                            <w:proofErr w:type="spellStart"/>
                            <w:r>
                              <w:t>ejaan</w:t>
                            </w:r>
                            <w:proofErr w:type="spellEnd"/>
                            <w:r>
                              <w:t xml:space="preserve">, dan tata </w:t>
                            </w:r>
                            <w:proofErr w:type="spellStart"/>
                            <w:r>
                              <w:t>bahasa</w:t>
                            </w:r>
                            <w:proofErr w:type="spellEnd"/>
                            <w:r>
                              <w:t xml:space="preserve"> </w:t>
                            </w:r>
                            <w:proofErr w:type="spellStart"/>
                            <w:r>
                              <w:t>sebelum</w:t>
                            </w:r>
                            <w:proofErr w:type="spellEnd"/>
                            <w:r>
                              <w:t xml:space="preserve"> </w:t>
                            </w:r>
                            <w:proofErr w:type="spellStart"/>
                            <w:r>
                              <w:t>mengirimkan</w:t>
                            </w:r>
                            <w:proofErr w:type="spellEnd"/>
                            <w:r>
                              <w:t xml:space="preserve"> </w:t>
                            </w:r>
                            <w:proofErr w:type="spellStart"/>
                            <w:r>
                              <w:t>jurnal</w:t>
                            </w:r>
                            <w:proofErr w:type="spellEnd"/>
                            <w:r>
                              <w:t xml:space="preserve"> Anda.</w:t>
                            </w:r>
                          </w:p>
                        </w:txbxContent>
                      </wps:txbx>
                      <wps:bodyPr rot="0" vert="horz" wrap="square" lIns="91440" tIns="5868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F4DD60" id="_x0000_t202" coordsize="21600,21600" o:spt="202" path="m,l,21600r21600,l21600,xe">
                <v:stroke joinstyle="miter"/>
                <v:path gradientshapeok="t" o:connecttype="rect"/>
              </v:shapetype>
              <v:shape id="Text Box 2" o:spid="_x0000_s1026" type="#_x0000_t202" style="position:absolute;left:0;text-align:left;margin-left:-37.55pt;margin-top:-56.6pt;width:509pt;height:144.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iIoGwIAAC0EAAAOAAAAZHJzL2Uyb0RvYy54bWysU9uO2yAQfa/Uf0C8N3ZSJ5u14qy22aaq&#10;tL1I234AxthGxQwFEjv9+h2wk93eXqrygBhmODNz5rC5GTpFjsI6Cbqg81lKidAcKqmbgn79sn+1&#10;psR5piumQIuCnoSjN9uXLza9ycUCWlCVsARBtMt7U9DWe5MnieOt6JibgREanTXYjnk0bZNUlvWI&#10;3qlkkaarpAdbGQtcOIe3d6OTbiN+XQvuP9W1E56ogmJtPu427mXYk+2G5Y1lppV8KoP9QxUdkxqT&#10;XqDumGfkYOVvUJ3kFhzUfsahS6CuJRexB+xmnv7SzUPLjIi9IDnOXGhy/w+Wfzw+mM+W+OENDDjA&#10;2IQz98C/OaJh1zLdiFtroW8FqzDxPFCW9Mbl09NAtctdACn7D1DhkNnBQwQaatsFVrBPgug4gNOF&#10;dDF4wvFyla2y1ym6OPrm6yxdXq1iDpafnxvr/DsBHQmHglqcaoRnx3vnQzksP4eEbA6UrPZSqWjY&#10;ptwpS44MFbCPa0L/KUxp0hf0erlYjgz8FSKN608QnfQoZSW7gq4vQSwPvL3VVRSaZ1KNZyxZ6YnI&#10;wN3Ioh/KAQMDoSVUJ6TUwihZ/GJ4aMH+oKRHuRbUfT8wKyhR7zWO5XqeZUHf0ViuV1gBJfa5q4xG&#10;trxaoIdpjlgF9efjzo+f4mCsbFpMNSpBwy3OspaR5aeypsJRk5H86f8E0T+3Y9TTL98+AgAA//8D&#10;AFBLAwQUAAYACAAAACEApyFsT+MAAAAMAQAADwAAAGRycy9kb3ducmV2LnhtbEyPwU6DQBCG7ya+&#10;w2ZMvJh2ARUssjTG6M2QWHvQ28JOAWVnCbttsU/veNLbTObLP99frGc7iANOvnekIF5GIJAaZ3pq&#10;FWzfnhd3IHzQZPTgCBV8o4d1eX5W6Ny4I73iYRNawSHkc62gC2HMpfRNh1b7pRuR+LZzk9WB16mV&#10;ZtJHDreDTKIolVb3xB86PeJjh83XZm8VVKf39KUN1dPHmFZXn9tTNtpdrdTlxfxwDyLgHP5g+NVn&#10;dSjZqXZ7Ml4MChbZbcwoD3F8nYBgZHWTrEDUzGZpBrIs5P8S5Q8AAAD//wMAUEsBAi0AFAAGAAgA&#10;AAAhALaDOJL+AAAA4QEAABMAAAAAAAAAAAAAAAAAAAAAAFtDb250ZW50X1R5cGVzXS54bWxQSwEC&#10;LQAUAAYACAAAACEAOP0h/9YAAACUAQAACwAAAAAAAAAAAAAAAAAvAQAAX3JlbHMvLnJlbHNQSwEC&#10;LQAUAAYACAAAACEAYiYiKBsCAAAtBAAADgAAAAAAAAAAAAAAAAAuAgAAZHJzL2Uyb0RvYy54bWxQ&#10;SwECLQAUAAYACAAAACEApyFsT+MAAAAMAQAADwAAAAAAAAAAAAAAAAB1BAAAZHJzL2Rvd25yZXYu&#10;eG1sUEsFBgAAAAAEAAQA8wAAAIUFAAAAAA==&#10;">
                <v:textbox inset=",16.3mm">
                  <w:txbxContent>
                    <w:p w14:paraId="21E75CF8" w14:textId="77777777" w:rsidR="002A19DA" w:rsidRDefault="002A19DA" w:rsidP="002A19DA">
                      <w:pPr>
                        <w:spacing w:after="0"/>
                        <w:jc w:val="center"/>
                      </w:pPr>
                      <w:proofErr w:type="spellStart"/>
                      <w:r>
                        <w:t>Biarkan</w:t>
                      </w:r>
                      <w:proofErr w:type="spellEnd"/>
                      <w:r>
                        <w:t xml:space="preserve"> </w:t>
                      </w:r>
                      <w:proofErr w:type="spellStart"/>
                      <w:r>
                        <w:t>kotak</w:t>
                      </w:r>
                      <w:proofErr w:type="spellEnd"/>
                      <w:r>
                        <w:t xml:space="preserve"> </w:t>
                      </w:r>
                      <w:proofErr w:type="spellStart"/>
                      <w:r>
                        <w:t>ini</w:t>
                      </w:r>
                      <w:proofErr w:type="spellEnd"/>
                      <w:r>
                        <w:t xml:space="preserve"> </w:t>
                      </w:r>
                      <w:proofErr w:type="spellStart"/>
                      <w:r>
                        <w:t>kosong</w:t>
                      </w:r>
                      <w:proofErr w:type="spellEnd"/>
                    </w:p>
                    <w:p w14:paraId="43E657BB" w14:textId="0FE31320" w:rsidR="002A19DA" w:rsidRDefault="002A19DA" w:rsidP="002A19DA">
                      <w:pPr>
                        <w:spacing w:after="0"/>
                        <w:jc w:val="center"/>
                      </w:pPr>
                      <w:proofErr w:type="spellStart"/>
                      <w:r>
                        <w:t>Sila</w:t>
                      </w:r>
                      <w:r w:rsidR="00F97536">
                        <w:t>h</w:t>
                      </w:r>
                      <w:r>
                        <w:t>kan</w:t>
                      </w:r>
                      <w:proofErr w:type="spellEnd"/>
                      <w:r>
                        <w:t xml:space="preserve"> </w:t>
                      </w:r>
                      <w:proofErr w:type="spellStart"/>
                      <w:r>
                        <w:t>kirim</w:t>
                      </w:r>
                      <w:proofErr w:type="spellEnd"/>
                      <w:r>
                        <w:t xml:space="preserve"> online </w:t>
                      </w:r>
                      <w:hyperlink r:id="rId9" w:history="1">
                        <w:r w:rsidRPr="00B67D91">
                          <w:rPr>
                            <w:rStyle w:val="Hyperlink"/>
                          </w:rPr>
                          <w:t>http://jurnal-itsi.org/index.php/jitsi/login</w:t>
                        </w:r>
                      </w:hyperlink>
                      <w:r>
                        <w:t xml:space="preserve"> </w:t>
                      </w:r>
                      <w:proofErr w:type="spellStart"/>
                      <w:r>
                        <w:t>dalam</w:t>
                      </w:r>
                      <w:proofErr w:type="spellEnd"/>
                      <w:r>
                        <w:t xml:space="preserve"> file DOC</w:t>
                      </w:r>
                    </w:p>
                    <w:p w14:paraId="76C07F44" w14:textId="77777777" w:rsidR="002A19DA" w:rsidRPr="0049704C" w:rsidRDefault="002A19DA" w:rsidP="002A19DA">
                      <w:pPr>
                        <w:spacing w:after="0"/>
                        <w:jc w:val="center"/>
                        <w:rPr>
                          <w:lang w:val="id-ID"/>
                        </w:rPr>
                      </w:pPr>
                      <w:r>
                        <w:t xml:space="preserve">Editor </w:t>
                      </w:r>
                      <w:proofErr w:type="spellStart"/>
                      <w:r>
                        <w:t>tidak</w:t>
                      </w:r>
                      <w:proofErr w:type="spellEnd"/>
                      <w:r>
                        <w:t xml:space="preserve"> </w:t>
                      </w:r>
                      <w:proofErr w:type="spellStart"/>
                      <w:r>
                        <w:t>akan</w:t>
                      </w:r>
                      <w:proofErr w:type="spellEnd"/>
                      <w:r>
                        <w:t xml:space="preserve"> </w:t>
                      </w:r>
                      <w:proofErr w:type="spellStart"/>
                      <w:r>
                        <w:t>menerima</w:t>
                      </w:r>
                      <w:proofErr w:type="spellEnd"/>
                      <w:r>
                        <w:t xml:space="preserve"> </w:t>
                      </w:r>
                      <w:proofErr w:type="spellStart"/>
                      <w:r>
                        <w:t>pengiriman</w:t>
                      </w:r>
                      <w:proofErr w:type="spellEnd"/>
                      <w:r>
                        <w:t xml:space="preserve"> </w:t>
                      </w:r>
                      <w:proofErr w:type="spellStart"/>
                      <w:r>
                        <w:t>melalui</w:t>
                      </w:r>
                      <w:proofErr w:type="spellEnd"/>
                      <w:r>
                        <w:t xml:space="preserve"> email. </w:t>
                      </w:r>
                      <w:proofErr w:type="spellStart"/>
                      <w:r>
                        <w:t>Pastikan</w:t>
                      </w:r>
                      <w:proofErr w:type="spellEnd"/>
                      <w:r>
                        <w:t xml:space="preserve"> </w:t>
                      </w:r>
                      <w:proofErr w:type="spellStart"/>
                      <w:r>
                        <w:t>untuk</w:t>
                      </w:r>
                      <w:proofErr w:type="spellEnd"/>
                      <w:r>
                        <w:t xml:space="preserve"> </w:t>
                      </w:r>
                      <w:proofErr w:type="spellStart"/>
                      <w:r>
                        <w:t>memeriksa</w:t>
                      </w:r>
                      <w:proofErr w:type="spellEnd"/>
                      <w:r>
                        <w:t xml:space="preserve"> </w:t>
                      </w:r>
                      <w:proofErr w:type="spellStart"/>
                      <w:r>
                        <w:t>plagiat</w:t>
                      </w:r>
                      <w:proofErr w:type="spellEnd"/>
                      <w:r>
                        <w:t xml:space="preserve">, </w:t>
                      </w:r>
                      <w:proofErr w:type="spellStart"/>
                      <w:r>
                        <w:t>ejaan</w:t>
                      </w:r>
                      <w:proofErr w:type="spellEnd"/>
                      <w:r>
                        <w:t xml:space="preserve">, dan tata </w:t>
                      </w:r>
                      <w:proofErr w:type="spellStart"/>
                      <w:r>
                        <w:t>bahasa</w:t>
                      </w:r>
                      <w:proofErr w:type="spellEnd"/>
                      <w:r>
                        <w:t xml:space="preserve"> </w:t>
                      </w:r>
                      <w:proofErr w:type="spellStart"/>
                      <w:r>
                        <w:t>sebelum</w:t>
                      </w:r>
                      <w:proofErr w:type="spellEnd"/>
                      <w:r>
                        <w:t xml:space="preserve"> </w:t>
                      </w:r>
                      <w:proofErr w:type="spellStart"/>
                      <w:r>
                        <w:t>mengirimkan</w:t>
                      </w:r>
                      <w:proofErr w:type="spellEnd"/>
                      <w:r>
                        <w:t xml:space="preserve"> </w:t>
                      </w:r>
                      <w:proofErr w:type="spellStart"/>
                      <w:r>
                        <w:t>jurnal</w:t>
                      </w:r>
                      <w:proofErr w:type="spellEnd"/>
                      <w:r>
                        <w:t xml:space="preserve"> Anda.</w:t>
                      </w:r>
                    </w:p>
                  </w:txbxContent>
                </v:textbox>
                <w10:wrap anchorx="margin"/>
              </v:shape>
            </w:pict>
          </mc:Fallback>
        </mc:AlternateContent>
      </w:r>
    </w:p>
    <w:p w14:paraId="0E6DFF8C" w14:textId="6CFEDBB0" w:rsidR="002A19DA" w:rsidRDefault="002A19DA" w:rsidP="002A19DA">
      <w:pPr>
        <w:jc w:val="right"/>
        <w:rPr>
          <w:rFonts w:ascii="Times New Roman" w:hAnsi="Times New Roman"/>
          <w:lang w:val="en-US"/>
        </w:rPr>
      </w:pPr>
    </w:p>
    <w:p w14:paraId="41A777F5" w14:textId="3245C798" w:rsidR="002A19DA" w:rsidRDefault="002A19DA" w:rsidP="002A19DA">
      <w:pPr>
        <w:jc w:val="right"/>
        <w:rPr>
          <w:rFonts w:ascii="Times New Roman" w:hAnsi="Times New Roman"/>
          <w:lang w:val="en-US"/>
        </w:rPr>
      </w:pPr>
    </w:p>
    <w:p w14:paraId="4E4521E4" w14:textId="40232878" w:rsidR="002A19DA" w:rsidRDefault="002A19DA" w:rsidP="002A19DA">
      <w:pPr>
        <w:jc w:val="right"/>
        <w:rPr>
          <w:rFonts w:ascii="Times New Roman" w:hAnsi="Times New Roman"/>
          <w:lang w:val="en-US"/>
        </w:rPr>
      </w:pPr>
    </w:p>
    <w:p w14:paraId="15B5896C" w14:textId="6B75574C" w:rsidR="002A19DA" w:rsidRPr="0073088A" w:rsidRDefault="002A19DA" w:rsidP="002A19DA">
      <w:pPr>
        <w:jc w:val="right"/>
        <w:rPr>
          <w:rFonts w:ascii="Times New Roman" w:hAnsi="Times New Roman"/>
          <w:lang w:val="en-US"/>
        </w:rPr>
      </w:pPr>
    </w:p>
    <w:p w14:paraId="3DA343FB" w14:textId="77777777" w:rsidR="002A19DA" w:rsidRPr="0073088A" w:rsidRDefault="002A19DA" w:rsidP="002A19DA">
      <w:pPr>
        <w:pStyle w:val="1JUDULJOURNAL"/>
        <w:jc w:val="left"/>
        <w:rPr>
          <w:rFonts w:ascii="Times New Roman" w:hAnsi="Times New Roman"/>
          <w:sz w:val="18"/>
          <w:lang w:val="en-US"/>
        </w:rPr>
      </w:pPr>
    </w:p>
    <w:p w14:paraId="3B73CF12" w14:textId="2FEDBB72" w:rsidR="002A19DA" w:rsidRPr="00216824" w:rsidRDefault="00CB1A88" w:rsidP="004B47F5">
      <w:pPr>
        <w:pStyle w:val="Subtitle"/>
        <w:jc w:val="center"/>
        <w:outlineLvl w:val="9"/>
        <w:rPr>
          <w:b w:val="0"/>
          <w:bCs/>
          <w:sz w:val="36"/>
          <w:szCs w:val="28"/>
        </w:rPr>
      </w:pPr>
      <w:r>
        <w:rPr>
          <w:rFonts w:ascii="Times New Roman" w:hAnsi="Times New Roman"/>
          <w:b/>
          <w:sz w:val="36"/>
        </w:rPr>
        <w:t>Task-Technology Fit in Multi-Paradigm Network Intrusion Detection: An Empirical Evaluation of Tree Ensembles, Deep Learning, and Tabular Foundation Models</w:t>
      </w:r>
    </w:p>
    <w:p w14:paraId="7220119B" w14:textId="77777777" w:rsidR="00CB1A88" w:rsidRDefault="00CB1A88" w:rsidP="00CB1A88">
      <w:pPr>
        <w:pStyle w:val="IJASEITAuthorName"/>
        <w:jc w:val="center"/>
      </w:pPr>
      <w:r>
        <w:rPr>
          <w:rFonts w:ascii="Times New Roman" w:hAnsi="Times New Roman"/>
          <w:b/>
          <w:sz w:val="22"/>
        </w:rPr>
        <w:t>Farrell Yodihartomo#</w:t>
      </w:r>
    </w:p>
    <w:p w14:paraId="5350602B" w14:textId="77777777" w:rsidR="00CB1A88" w:rsidRDefault="00CB1A88" w:rsidP="00CB1A88">
      <w:pPr>
        <w:pStyle w:val="IJASEITAuthorAffiliation"/>
        <w:spacing w:after="120"/>
        <w:jc w:val="center"/>
      </w:pPr>
      <w:r>
        <w:rPr>
          <w:rFonts w:ascii="Times New Roman" w:hAnsi="Times New Roman"/>
          <w:i w:val="0"/>
          <w:sz w:val="18"/>
        </w:rPr>
        <w:t># Department of Information Systems, Faculty of Computer Science, Universitas Indonesia, Depok 16424, Indonesia</w:t>
        <w:br/>
        <w:t>E-mail: farrell.yodihartomo@ui.ac.id</w:t>
      </w:r>
    </w:p>
    <w:tbl>
      <w:tblPr>
        <w:tblW w:w="0" w:type="auto"/>
        <w:tblLook w:val="04A0" w:firstRow="1" w:lastRow="0" w:firstColumn="1" w:lastColumn="0" w:noHBand="0" w:noVBand="1"/>
      </w:tblPr>
      <w:tblGrid>
        <w:gridCol w:w="6237"/>
        <w:gridCol w:w="320"/>
        <w:gridCol w:w="2469"/>
      </w:tblGrid>
      <w:tr w:rsidR="00A35E8E" w:rsidRPr="0073088A" w14:paraId="167B6497" w14:textId="77777777" w:rsidTr="00882A9C">
        <w:tc>
          <w:tcPr>
            <w:tcW w:w="6237" w:type="dxa"/>
            <w:tcBorders>
              <w:top w:val="single" w:sz="12" w:space="0" w:color="auto"/>
              <w:bottom w:val="single" w:sz="12" w:space="0" w:color="auto"/>
            </w:tcBorders>
            <w:shd w:val="clear" w:color="auto" w:fill="auto"/>
          </w:tcPr>
          <w:p w14:paraId="23DFF761" w14:textId="77777777" w:rsidR="00A35E8E" w:rsidRPr="00C54D9B" w:rsidRDefault="00A35E8E" w:rsidP="00882A9C">
            <w:pPr>
              <w:spacing w:after="0" w:line="240" w:lineRule="auto"/>
              <w:rPr>
                <w:rStyle w:val="hps"/>
                <w:rFonts w:ascii="Times New Roman" w:hAnsi="Times New Roman"/>
                <w:b/>
                <w:bCs/>
                <w:sz w:val="20"/>
                <w:szCs w:val="20"/>
                <w:lang w:val="en-US"/>
              </w:rPr>
            </w:pPr>
            <w:r w:rsidRPr="00C54D9B">
              <w:rPr>
                <w:rFonts w:ascii="Times New Roman" w:hAnsi="Times New Roman"/>
                <w:b/>
                <w:bCs/>
                <w:sz w:val="20"/>
                <w:szCs w:val="20"/>
                <w:lang w:val="en-US"/>
              </w:rPr>
              <w:t xml:space="preserve">A B S T R A C T S    </w:t>
            </w:r>
          </w:p>
        </w:tc>
        <w:tc>
          <w:tcPr>
            <w:tcW w:w="320" w:type="dxa"/>
            <w:shd w:val="clear" w:color="auto" w:fill="auto"/>
          </w:tcPr>
          <w:p w14:paraId="6221FAC9" w14:textId="77777777" w:rsidR="00A35E8E" w:rsidRPr="00216824" w:rsidRDefault="00A35E8E" w:rsidP="00882A9C">
            <w:pPr>
              <w:spacing w:after="0" w:line="240" w:lineRule="auto"/>
              <w:jc w:val="center"/>
              <w:rPr>
                <w:rFonts w:ascii="Times New Roman" w:hAnsi="Times New Roman"/>
                <w:sz w:val="20"/>
                <w:szCs w:val="20"/>
                <w:lang w:val="en-US"/>
              </w:rPr>
            </w:pPr>
          </w:p>
        </w:tc>
        <w:tc>
          <w:tcPr>
            <w:tcW w:w="2469" w:type="dxa"/>
            <w:vMerge w:val="restart"/>
            <w:tcBorders>
              <w:top w:val="single" w:sz="12" w:space="0" w:color="auto"/>
              <w:left w:val="nil"/>
            </w:tcBorders>
            <w:shd w:val="clear" w:color="auto" w:fill="auto"/>
          </w:tcPr>
          <w:p>
            <w:pPr>
              <w:jc w:val="both"/>
            </w:pPr>
            <w:r>
              <w:rPr>
                <w:rFonts w:ascii="Times New Roman" w:hAnsi="Times New Roman"/>
                <w:i/>
                <w:sz w:val="16"/>
              </w:rPr>
              <w:t>Manuscript received September 2026; revised October 2026; accepted November 2026. Date of publication December 2026. International Journal, JITSI : Jurnal Ilmiah Teknologi Sistem Informasi licensed under a Creative Commons Attribution-Share Alike 4.0 International License.</w:t>
            </w:r>
          </w:p>
        </w:tc>
      </w:tr>
      <w:tr w:rsidR="00A35E8E" w:rsidRPr="0073088A" w14:paraId="636B4EB6" w14:textId="77777777" w:rsidTr="00882A9C">
        <w:tc>
          <w:tcPr>
            <w:tcW w:w="6237" w:type="dxa"/>
            <w:tcBorders>
              <w:top w:val="single" w:sz="12" w:space="0" w:color="auto"/>
            </w:tcBorders>
            <w:shd w:val="clear" w:color="auto" w:fill="auto"/>
          </w:tcPr>
          <w:p>
            <w:pPr>
              <w:jc w:val="both"/>
            </w:pPr>
            <w:r>
              <w:rPr>
                <w:rFonts w:ascii="Times New Roman" w:hAnsi="Times New Roman"/>
                <w:i/>
                <w:sz w:val="18"/>
              </w:rPr>
              <w:t>Network intrusion detection systems face severe operational divergence between high-throughput packet filtering, zero-day generalization, and computational footprint. Traditional benchmark evaluations examine machine learning models as isolated mathematical constructs, detached from operational security workflows. This study resolves this theoretical disconnect by investigating eight architectures spanning gradient-boosted trees, tabular deep learning, selective state space models, and tabular foundation models through the theoretical lens of Task-Technology Fit (TTF) and Design Science Research. Using a dual-track experimental design across five decontaminated intrusion datasets (CICIDS2017, UNSW-NB15, TON_IoT, CIC-DDoS2019, and NSL-KDD), we evaluate detection efficacy under strict subnet-isolated cross-validation with active zero-day holdout induction. The empirical findings reveal that gradient-boosted trees (LightGBM and XGBoost) achieve superior seen attack detection (Seen F1 &gt;= 0.9469) and sub-millisecond line-rate filtering. Conversely, the prior-data fitted foundation model (TabPFN v3) leads zero-day generalization (Unseen F1 = 0.6173 +- 0.4275), outperforming neural baselines by 6 to 10 percentage points at the cost of a 3.11 ms per-flow latency. Selective state space models (Mambular SSM) match tree throughput (&gt;929,000 flows/sec) while sustaining flat VRAM allocation across expanding data regimes. Non-parametric Demšar tests confirm significant architectural differentiation (Friedman chi-square = 29.6667, p = 1.093e-4), while Triangular Fuzzy DEMATEL causal discovery with 10,000 Monte Carlo runs (Kendall W = 0.9716) isolates model architecture as the primary causal driver of operational performance. Based on these empirical validations, we formulate four formal Design Propositions and present a Three-Tier Security Operations Center blueprint.</w:t>
            </w:r>
          </w:p>
        </w:tc>
        <w:tc>
          <w:tcPr>
            <w:tcW w:w="320" w:type="dxa"/>
            <w:shd w:val="clear" w:color="auto" w:fill="auto"/>
          </w:tcPr>
          <w:p w14:paraId="326600BA" w14:textId="77777777" w:rsidR="00A35E8E" w:rsidRPr="00216824" w:rsidRDefault="00A35E8E" w:rsidP="00882A9C">
            <w:pPr>
              <w:spacing w:after="0" w:line="240" w:lineRule="auto"/>
              <w:rPr>
                <w:rFonts w:ascii="Times New Roman" w:hAnsi="Times New Roman"/>
                <w:i/>
                <w:sz w:val="20"/>
                <w:szCs w:val="20"/>
                <w:lang w:val="en-US"/>
              </w:rPr>
            </w:pPr>
          </w:p>
        </w:tc>
        <w:tc>
          <w:tcPr>
            <w:tcW w:w="2469" w:type="dxa"/>
            <w:vMerge/>
            <w:shd w:val="clear" w:color="auto" w:fill="auto"/>
          </w:tcPr>
          <w:p w14:paraId="0E36B285" w14:textId="77777777" w:rsidR="00A35E8E" w:rsidRPr="00216824" w:rsidRDefault="00A35E8E" w:rsidP="00882A9C">
            <w:pPr>
              <w:spacing w:after="0" w:line="240" w:lineRule="auto"/>
              <w:jc w:val="right"/>
              <w:rPr>
                <w:rStyle w:val="hps"/>
                <w:rFonts w:ascii="Times New Roman" w:hAnsi="Times New Roman"/>
                <w:i/>
                <w:sz w:val="20"/>
                <w:szCs w:val="20"/>
                <w:lang w:val="en-US"/>
              </w:rPr>
            </w:pPr>
          </w:p>
        </w:tc>
      </w:tr>
      <w:tr w:rsidR="00A35E8E" w:rsidRPr="0073088A" w14:paraId="6184EB9E" w14:textId="77777777" w:rsidTr="00882A9C">
        <w:tc>
          <w:tcPr>
            <w:tcW w:w="9026" w:type="dxa"/>
            <w:gridSpan w:val="3"/>
            <w:tcBorders>
              <w:bottom w:val="single" w:sz="12" w:space="0" w:color="auto"/>
            </w:tcBorders>
            <w:shd w:val="clear" w:color="auto" w:fill="auto"/>
          </w:tcPr>
          <w:p>
            <w:r>
              <w:rPr>
                <w:rFonts w:ascii="Times New Roman" w:hAnsi="Times New Roman"/>
                <w:b w:val="0"/>
                <w:sz w:val="18"/>
              </w:rPr>
              <w:t>Keywords / Kata Kunci: Network Intrusion Detection; Task-Technology Fit; Tabular Foundation Models; Selective State Space Models; Fuzzy DEMATEL.</w:t>
            </w:r>
          </w:p>
        </w:tc>
      </w:tr>
      <w:tr w:rsidR="00A35E8E" w:rsidRPr="0073088A" w14:paraId="70148C38" w14:textId="77777777" w:rsidTr="00882A9C">
        <w:tc>
          <w:tcPr>
            <w:tcW w:w="9026" w:type="dxa"/>
            <w:gridSpan w:val="3"/>
            <w:tcBorders>
              <w:top w:val="single" w:sz="12" w:space="0" w:color="auto"/>
            </w:tcBorders>
            <w:shd w:val="clear" w:color="auto" w:fill="auto"/>
          </w:tcPr>
          <w:p w14:paraId="43500675" w14:textId="77777777" w:rsidR="00A35E8E" w:rsidRDefault="00A35E8E" w:rsidP="004B47F5">
            <w:pPr>
              <w:widowControl w:val="0"/>
              <w:autoSpaceDE w:val="0"/>
              <w:autoSpaceDN w:val="0"/>
              <w:adjustRightInd w:val="0"/>
              <w:spacing w:after="0" w:line="182" w:lineRule="exact"/>
              <w:rPr>
                <w:rFonts w:ascii="Times New Roman" w:hAnsi="Times New Roman"/>
                <w:i/>
                <w:iCs/>
                <w:color w:val="000000"/>
                <w:spacing w:val="-2"/>
                <w:sz w:val="16"/>
                <w:szCs w:val="16"/>
              </w:rPr>
            </w:pPr>
          </w:p>
        </w:tc>
      </w:tr>
    </w:tbl>
    <w:p>
      <w:pPr>
        <w:pStyle w:val="IJASEITHeading1"/>
        <w:spacing w:before="240" w:after="80"/>
      </w:pPr>
      <w:r>
        <w:rPr>
          <w:rFonts w:ascii="Times New Roman" w:hAnsi="Times New Roman"/>
          <w:b/>
          <w:sz w:val="26"/>
        </w:rPr>
        <w:t>1. Introduction</w:t>
      </w:r>
    </w:p>
    <w:p>
      <w:pPr>
        <w:pStyle w:val="IJASEITParagraph"/>
        <w:spacing w:line="252" w:lineRule="auto" w:after="80"/>
        <w:jc w:val="both"/>
      </w:pPr>
      <w:r>
        <w:rPr>
          <w:rFonts w:ascii="Times New Roman" w:hAnsi="Times New Roman"/>
          <w:sz w:val="20"/>
        </w:rPr>
        <w:t>Modern enterprise networks operate under extreme throughput pressures, where edge inspection appliances process line rates exceeding 10 Gbps to 100 Gbps [1], [2]. Within these environments, Network Intrusion Detection Systems (NIDS) must evaluate high-dimensional packet flows, identify malicious behaviors, and flag anomalous patterns before unauthorized actors compromise internal subnets [3]. This operational mandate forces security operations centers (SOC) to confront a trilemma between three competing performance objectives: sub-millisecond per-flow inference latency, high detection accuracy on known attack signatures, and generalization capacity against unobserved zero-day exploits.</w:t>
      </w:r>
    </w:p>
    <w:p>
      <w:pPr>
        <w:pStyle w:val="IJASEITParagraph"/>
        <w:spacing w:line="252" w:lineRule="auto" w:after="80"/>
        <w:jc w:val="both"/>
      </w:pPr>
      <w:r>
        <w:rPr>
          <w:rFonts w:ascii="Times New Roman" w:hAnsi="Times New Roman"/>
          <w:sz w:val="20"/>
        </w:rPr>
        <w:t>Recent advances in machine learning present multiple competing architectural paradigms for tabular traffic classification. Historically, Gradient-Boosted Decision Trees (GBDTs), specifically LightGBM and XGBoost, have dominated tabular benchmarks [4]. Their recursive orthogonal splitting logic fits the discrete, uncoordinated coordinate distributions typical of network telemetry (such as TCP flags, port indices, and packet counts) with high computational speed [5]. However, decision trees partition feature spaces via axis-aligned hyperplanes, creating rigid bounding boxes that fail to extrapolate when novel attacks shift traffic distributions outside observed training regions.</w:t>
      </w:r>
    </w:p>
    <w:p>
      <w:pPr>
        <w:pStyle w:val="IJASEITParagraph"/>
        <w:spacing w:line="252" w:lineRule="auto" w:after="80"/>
        <w:jc w:val="both"/>
      </w:pPr>
      <w:r>
        <w:rPr>
          <w:rFonts w:ascii="Times New Roman" w:hAnsi="Times New Roman"/>
          <w:sz w:val="20"/>
        </w:rPr>
        <w:t>To address this extrapolation bottleneck, researchers introduced tabular deep learning architectures. Models such as FT-Transformer [6] and SAINT [7] deploy self-attention mechanisms to capture complex feature-to-feature interdependencies. While self-attention creates smooth, continuous decision boundaries, it introduces quadratic computational complexity O(D^2) with respect to feature dimension D. Under line-rate streaming conditions, this quadratic overhead creates processing bottlenecks and increases GPU memory saturation [8]. To circumvent the quadratic scaling of attention, selective State Space Models (SSMs), notably Mamba [9] and its tabular realization Mambular [10], combine hardware-aware parallel associative scans with linear time complexity O(D). Simultaneously, prior-data fitted tabular foundation models, including TabPFN [11] and TabICL [12], formulate classification as in-context Bayesian inference. By pre-training on millions of synthetic causal graphs, foundation models execute zero-shot prediction on unseen tasks without updating internal model weights.</w:t>
      </w:r>
    </w:p>
    <w:p>
      <w:pPr>
        <w:pStyle w:val="IJASEITParagraph"/>
        <w:spacing w:line="252" w:lineRule="auto" w:after="80"/>
        <w:jc w:val="both"/>
      </w:pPr>
      <w:r>
        <w:rPr>
          <w:rFonts w:ascii="Times New Roman" w:hAnsi="Times New Roman"/>
          <w:sz w:val="20"/>
        </w:rPr>
        <w:t>Despite these algorithmic innovations, cybersecurity research suffers from an Information Systems (IS) theoretical disconnect. Security studies evaluate machine learning models as isolated algorithmic artifacts, ranking architectures solely on aggregate accuracy or overall F1 scores on static test splits [13], [14]. This narrow engineering perspective detaches algorithmic performance from organizational task demands, obscuring critical trade-offs between processing speed, resource consumption, and forensic fidelity. An architecture that achieves high accuracy in offline evaluations can destabilize an operational SOC if its inference latency causes queue overflow at network perimeter gateways.</w:t>
      </w:r>
    </w:p>
    <w:p>
      <w:pPr>
        <w:pStyle w:val="IJASEITParagraph"/>
        <w:spacing w:line="252" w:lineRule="auto" w:after="80"/>
        <w:jc w:val="both"/>
      </w:pPr>
      <w:r>
        <w:rPr>
          <w:rFonts w:ascii="Times New Roman" w:hAnsi="Times New Roman"/>
          <w:sz w:val="20"/>
        </w:rPr>
        <w:t>This investigation resolves this disconnect by evaluating intrusion detection models through the theoretical lens of Task-Technology Fit (TTF) formulated by Goodhue and Thompson [15] and the Design Science Research (DSR) guidelines established by Hevner et al. [16]. TTF posits that information technology enhances organizational performance only when its capabilities correspond directly to the operational demands of the assigned task. In cybersecurity operations, algorithmic capabilities (such as discrete boundary cuts, in-context priors, and state-space recurrence) do not possess intrinsic utility; their effectiveness depends on the specific operational profile of the security task.</w:t>
      </w:r>
    </w:p>
    <w:p>
      <w:pPr>
        <w:pStyle w:val="IJASEITParagraph"/>
        <w:spacing w:line="252" w:lineRule="auto" w:after="80"/>
        <w:jc w:val="both"/>
      </w:pPr>
      <w:r>
        <w:rPr>
          <w:rFonts w:ascii="Times New Roman" w:hAnsi="Times New Roman"/>
          <w:sz w:val="20"/>
        </w:rPr>
        <w:t>To formalize this inquiry, we define three core operational SOC tasks: Line-Rate Perimeter Filtering (T1), Zero-Day Forensic Isolation (T2), and Enterprise Composite Triage (T3). Across these task regimes, we investigate four specific research questions:</w:t>
      </w:r>
    </w:p>
    <w:p>
      <w:pPr>
        <w:pStyle w:val="IJASEITParagraph"/>
        <w:spacing w:line="252" w:lineRule="auto" w:after="80"/>
        <w:jc w:val="both"/>
      </w:pPr>
      <w:r>
        <w:rPr>
          <w:rFonts w:ascii="Times New Roman" w:hAnsi="Times New Roman"/>
          <w:b/>
          <w:sz w:val="20"/>
        </w:rPr>
        <w:t xml:space="preserve">• RQ1: </w:t>
      </w:r>
      <w:r>
        <w:rPr>
          <w:rFonts w:ascii="Times New Roman" w:hAnsi="Times New Roman"/>
          <w:sz w:val="20"/>
        </w:rPr>
        <w:t>How do tabular foundation models, selective state space models, deep neural networks, and decision tree ensembles compare across seen attack classification and zero-day threat generalization?</w:t>
      </w:r>
    </w:p>
    <w:p>
      <w:pPr>
        <w:pStyle w:val="IJASEITParagraph"/>
        <w:spacing w:line="252" w:lineRule="auto" w:after="80"/>
        <w:jc w:val="both"/>
      </w:pPr>
      <w:r>
        <w:rPr>
          <w:rFonts w:ascii="Times New Roman" w:hAnsi="Times New Roman"/>
          <w:b/>
          <w:sz w:val="20"/>
        </w:rPr>
        <w:t xml:space="preserve">• RQ2: </w:t>
      </w:r>
      <w:r>
        <w:rPr>
          <w:rFonts w:ascii="Times New Roman" w:hAnsi="Times New Roman"/>
          <w:sz w:val="20"/>
        </w:rPr>
        <w:t>What are the empirical throughput, per-flow latency, and dynamic memory boundaries of these model families under industrial streaming conditions?</w:t>
      </w:r>
    </w:p>
    <w:p>
      <w:pPr>
        <w:pStyle w:val="IJASEITParagraph"/>
        <w:spacing w:line="252" w:lineRule="auto" w:after="80"/>
        <w:jc w:val="both"/>
      </w:pPr>
      <w:r>
        <w:rPr>
          <w:rFonts w:ascii="Times New Roman" w:hAnsi="Times New Roman"/>
          <w:b/>
          <w:sz w:val="20"/>
        </w:rPr>
        <w:t xml:space="preserve">• RQ3: </w:t>
      </w:r>
      <w:r>
        <w:rPr>
          <w:rFonts w:ascii="Times New Roman" w:hAnsi="Times New Roman"/>
          <w:sz w:val="20"/>
        </w:rPr>
        <w:t>Are observed performance disparities between architectural paradigms statistically significant under non-parametric multi-dataset testing protocols?</w:t>
      </w:r>
    </w:p>
    <w:p>
      <w:pPr>
        <w:pStyle w:val="IJASEITParagraph"/>
        <w:spacing w:line="252" w:lineRule="auto" w:after="80"/>
        <w:jc w:val="both"/>
      </w:pPr>
      <w:r>
        <w:rPr>
          <w:rFonts w:ascii="Times New Roman" w:hAnsi="Times New Roman"/>
          <w:b/>
          <w:sz w:val="20"/>
        </w:rPr>
        <w:t xml:space="preserve">• RQ4: </w:t>
      </w:r>
      <w:r>
        <w:rPr>
          <w:rFonts w:ascii="Times New Roman" w:hAnsi="Times New Roman"/>
          <w:sz w:val="20"/>
        </w:rPr>
        <w:t>How do upstream architectural attributes causally govern downstream operational trade-offs, and what deployment topology optimizes overall Task-Technology Fit?</w:t>
      </w:r>
    </w:p>
    <w:p>
      <w:pPr>
        <w:pStyle w:val="IJASEITParagraph"/>
        <w:spacing w:line="252" w:lineRule="auto" w:after="80"/>
        <w:jc w:val="both"/>
      </w:pPr>
      <w:r>
        <w:rPr>
          <w:rFonts w:ascii="Times New Roman" w:hAnsi="Times New Roman"/>
          <w:sz w:val="20"/>
        </w:rPr>
        <w:t>To answer these questions, this paper executes a comprehensive dual-track benchmark evaluating eight representative architectures across five decontaminated intrusion datasets (CICIDS2017 [17], UNSW-NB15 [13], TON_IoT [18], CIC-DDoS2019 [19], and NSL-KDD). We enforce strict anti-leakage cross-validation through subnet-isolated GroupKFold partitioning and systematic zero-day holdout induction [20]. Furthermore, we apply the Demšar statistical testing protocol [21] alongside Triangular Fuzzy DEMATEL causal discovery [22], [23], [24] and DirectLiNGAM non-Gaussian causal triangulation [25]. Based on these empirical validations, we formalize four Design Propositions (DP1 - DP4) and provide an operational Three-Tier SOC deployment blueprint.</w:t>
      </w:r>
    </w:p>
    <w:p>
      <w:pPr>
        <w:pStyle w:val="IJASEITHeading1"/>
        <w:spacing w:before="240" w:after="80"/>
      </w:pPr>
      <w:r>
        <w:rPr>
          <w:rFonts w:ascii="Times New Roman" w:hAnsi="Times New Roman"/>
          <w:b/>
          <w:sz w:val="26"/>
        </w:rPr>
        <w:t>2. Research Methodology</w:t>
      </w:r>
    </w:p>
    <w:p>
      <w:pPr>
        <w:pStyle w:val="IJASEITParagraph"/>
        <w:spacing w:line="252" w:lineRule="auto" w:after="80"/>
        <w:jc w:val="both"/>
      </w:pPr>
      <w:r>
        <w:rPr>
          <w:rFonts w:ascii="Times New Roman" w:hAnsi="Times New Roman"/>
          <w:sz w:val="20"/>
        </w:rPr>
        <w:t>This study establishes a rigorous empirical evaluation architecture combining experimental machine learning benchmarks with formal statistical validation and causal structural equation modeling. Fig. 1 illustrates the benchmark class distribution and attack taxonomy across the evaluated partitions.</w:t>
      </w:r>
    </w:p>
    <w:p>
      <w:pPr>
        <w:spacing w:before="160" w:after="40"/>
        <w:jc w:val="center"/>
      </w:pPr>
      <w:r>
        <w:drawing>
          <wp:inline xmlns:a="http://schemas.openxmlformats.org/drawingml/2006/main" xmlns:pic="http://schemas.openxmlformats.org/drawingml/2006/picture">
            <wp:extent cx="5303520" cy="1106528"/>
            <wp:docPr id="3" name="Picture 3"/>
            <wp:cNvGraphicFramePr>
              <a:graphicFrameLocks noChangeAspect="1"/>
            </wp:cNvGraphicFramePr>
            <a:graphic>
              <a:graphicData uri="http://schemas.openxmlformats.org/drawingml/2006/picture">
                <pic:pic>
                  <pic:nvPicPr>
                    <pic:cNvPr id="0" name="fig01_phase1_class_distribution_all.png"/>
                    <pic:cNvPicPr/>
                  </pic:nvPicPr>
                  <pic:blipFill>
                    <a:blip r:embed="rId21"/>
                    <a:stretch>
                      <a:fillRect/>
                    </a:stretch>
                  </pic:blipFill>
                  <pic:spPr>
                    <a:xfrm>
                      <a:off x="0" y="0"/>
                      <a:ext cx="5303520" cy="1106528"/>
                    </a:xfrm>
                    <a:prstGeom prst="rect"/>
                  </pic:spPr>
                </pic:pic>
              </a:graphicData>
            </a:graphic>
          </wp:inline>
        </w:drawing>
      </w:r>
    </w:p>
    <w:p>
      <w:pPr>
        <w:spacing w:before="40" w:after="160"/>
        <w:jc w:val="center"/>
      </w:pPr>
      <w:r>
        <w:rPr>
          <w:rFonts w:ascii="Times New Roman" w:hAnsi="Times New Roman"/>
          <w:i/>
          <w:sz w:val="16"/>
        </w:rPr>
        <w:t>Fig 1. Benchmark class distribution and multi-dataset attack taxonomy across evaluated partitions.</w:t>
      </w:r>
    </w:p>
    <w:p>
      <w:pPr>
        <w:pStyle w:val="IJASEITHeading2"/>
        <w:spacing w:before="160" w:after="60"/>
      </w:pPr>
      <w:r>
        <w:rPr>
          <w:rFonts w:ascii="Times New Roman" w:hAnsi="Times New Roman"/>
          <w:b/>
          <w:sz w:val="22"/>
        </w:rPr>
        <w:t>2.1. Problem Formulation and Task-Technology Fit Utilities</w:t>
      </w:r>
    </w:p>
    <w:p>
      <w:pPr>
        <w:pStyle w:val="IJASEITParagraph"/>
        <w:spacing w:line="252" w:lineRule="auto" w:after="80"/>
        <w:jc w:val="both"/>
      </w:pPr>
      <w:r>
        <w:rPr>
          <w:rFonts w:ascii="Times New Roman" w:hAnsi="Times New Roman"/>
          <w:sz w:val="20"/>
        </w:rPr>
        <w:t>Let an individual network communication flow be represented by a continuous-discrete feature vector x_i in R^D and an associated class label y_i in C. The target attack taxonomy comprises three disjoint subsets: C = {Benign} U C_seen U C_unseen, where C_unseen denotes zero-day exploits excluded from model training. The classification objective is to estimate the posterior distribution P(y_i = c | x_i; theta).</w:t>
      </w:r>
    </w:p>
    <w:p>
      <w:pPr>
        <w:pStyle w:val="IJASEITParagraph"/>
        <w:spacing w:line="252" w:lineRule="auto" w:after="80"/>
        <w:jc w:val="both"/>
      </w:pPr>
      <w:r>
        <w:rPr>
          <w:rFonts w:ascii="Times New Roman" w:hAnsi="Times New Roman"/>
          <w:sz w:val="20"/>
        </w:rPr>
        <w:t>Because network traffic displays severe class imbalance (often exceeding 100:1 between benign flows and rare attack vectors), overall accuracy provides a misleading measure of operational competence. We evaluate detection efficacy through Macro-averaged F1, Seen Attack F1, and Unseen Zero-Day F1:</w:t>
      </w:r>
    </w:p>
    <w:p>
      <w:pPr>
        <w:spacing w:before="80" w:after="80"/>
        <w:jc w:val="center"/>
      </w:pPr>
      <w:r>
        <w:rPr>
          <w:rFonts w:ascii="Times New Roman" w:hAnsi="Times New Roman"/>
          <w:i/>
          <w:sz w:val="20"/>
        </w:rPr>
        <w:tab/>
        <w:t>Precision_c = TP_c / (TP_c + FP_c),   Recall_c = TP_c / (TP_c + FN_c),   F1_c = 2*Precision_c*Recall_c / (Precision_c + Recall_c)</w:t>
        <w:tab/>
        <w:t>(1)</w:t>
      </w:r>
    </w:p>
    <w:p>
      <w:pPr>
        <w:spacing w:before="80" w:after="80"/>
        <w:jc w:val="center"/>
      </w:pPr>
      <w:r>
        <w:rPr>
          <w:rFonts w:ascii="Times New Roman" w:hAnsi="Times New Roman"/>
          <w:i/>
          <w:sz w:val="20"/>
        </w:rPr>
        <w:tab/>
        <w:t>F1_macro = (1/|C|) sum_{c in C} F1_c,   F1_seen = (1/|C_seen|) sum_{c in C_seen} F1_c,   F1_unseen = (1/|C_unseen|) sum_{c in C_unseen} F1_c</w:t>
        <w:tab/>
        <w:t>(2)</w:t>
      </w:r>
    </w:p>
    <w:p>
      <w:pPr>
        <w:pStyle w:val="IJASEITParagraph"/>
        <w:spacing w:line="252" w:lineRule="auto" w:after="80"/>
        <w:jc w:val="both"/>
      </w:pPr>
      <w:r>
        <w:rPr>
          <w:rFonts w:ascii="Times New Roman" w:hAnsi="Times New Roman"/>
          <w:sz w:val="20"/>
        </w:rPr>
        <w:t>In accordance with Goodhue and Thompson [15], technological utility is evaluated against three operational SOC tasks:</w:t>
      </w:r>
    </w:p>
    <w:p>
      <w:pPr>
        <w:pStyle w:val="IJASEITParagraph"/>
        <w:spacing w:line="252" w:lineRule="auto" w:after="80"/>
        <w:jc w:val="both"/>
      </w:pPr>
      <w:r>
        <w:rPr>
          <w:rFonts w:ascii="Times New Roman" w:hAnsi="Times New Roman"/>
          <w:b/>
          <w:sz w:val="20"/>
        </w:rPr>
        <w:t xml:space="preserve">1) Task T1 (Line-Rate Perimeter Filtering): </w:t>
      </w:r>
      <w:r>
        <w:rPr>
          <w:rFonts w:ascii="Times New Roman" w:hAnsi="Times New Roman"/>
          <w:sz w:val="20"/>
        </w:rPr>
        <w:t>Prioritizes sub-millisecond per-flow latency L (in ms) and high throughput while retaining high seen attack detection:</w:t>
      </w:r>
    </w:p>
    <w:p>
      <w:pPr>
        <w:spacing w:before="80" w:after="80"/>
        <w:jc w:val="center"/>
      </w:pPr>
      <w:r>
        <w:rPr>
          <w:rFonts w:ascii="Times New Roman" w:hAnsi="Times New Roman"/>
          <w:i/>
          <w:sz w:val="20"/>
        </w:rPr>
        <w:tab/>
        <w:t>U(T1) = 0.40 * F1_seen + 0.35 * min(1.0, 0.005 / (L + 1e-6)) + 0.25 * ROC-AUC</w:t>
        <w:tab/>
        <w:t>(3)</w:t>
      </w:r>
    </w:p>
    <w:p>
      <w:pPr>
        <w:pStyle w:val="IJASEITParagraph"/>
        <w:spacing w:line="252" w:lineRule="auto" w:after="80"/>
        <w:jc w:val="both"/>
      </w:pPr>
      <w:r>
        <w:rPr>
          <w:rFonts w:ascii="Times New Roman" w:hAnsi="Times New Roman"/>
          <w:b/>
          <w:sz w:val="20"/>
        </w:rPr>
        <w:t xml:space="preserve">2) Task T2 (Zero-Day Forensic Isolation): </w:t>
      </w:r>
      <w:r>
        <w:rPr>
          <w:rFonts w:ascii="Times New Roman" w:hAnsi="Times New Roman"/>
          <w:sz w:val="20"/>
        </w:rPr>
        <w:t>Prioritizes generalization on completely unobserved attack manifolds without parameter re-estimation:</w:t>
      </w:r>
    </w:p>
    <w:p>
      <w:pPr>
        <w:spacing w:before="80" w:after="80"/>
        <w:jc w:val="center"/>
      </w:pPr>
      <w:r>
        <w:rPr>
          <w:rFonts w:ascii="Times New Roman" w:hAnsi="Times New Roman"/>
          <w:i/>
          <w:sz w:val="20"/>
        </w:rPr>
        <w:tab/>
        <w:t>U(T2) = 0.60 * F1_unseen + 0.25 * F1_seen + 0.15 * ROC-AUC</w:t>
        <w:tab/>
        <w:t>(4)</w:t>
      </w:r>
    </w:p>
    <w:p>
      <w:pPr>
        <w:pStyle w:val="IJASEITParagraph"/>
        <w:spacing w:line="252" w:lineRule="auto" w:after="80"/>
        <w:jc w:val="both"/>
      </w:pPr>
      <w:r>
        <w:rPr>
          <w:rFonts w:ascii="Times New Roman" w:hAnsi="Times New Roman"/>
          <w:b/>
          <w:sz w:val="20"/>
        </w:rPr>
        <w:t xml:space="preserve">3) Task T3 (Enterprise Composite SOC Triage): </w:t>
      </w:r>
      <w:r>
        <w:rPr>
          <w:rFonts w:ascii="Times New Roman" w:hAnsi="Times New Roman"/>
          <w:sz w:val="20"/>
        </w:rPr>
        <w:t>Balances overall classification fidelity, zero-day resilience, and sustained streaming throughput:</w:t>
      </w:r>
    </w:p>
    <w:p>
      <w:pPr>
        <w:spacing w:before="80" w:after="80"/>
        <w:jc w:val="center"/>
      </w:pPr>
      <w:r>
        <w:rPr>
          <w:rFonts w:ascii="Times New Roman" w:hAnsi="Times New Roman"/>
          <w:i/>
          <w:sz w:val="20"/>
        </w:rPr>
        <w:tab/>
        <w:t>U(T3) = 0.40 * F1_macro + 0.30 * F1_unseen + 0.20 * ROC-AUC + 0.10 * min(1.0, Throughput / 100,000)</w:t>
        <w:tab/>
        <w:t>(5)</w:t>
      </w:r>
    </w:p>
    <w:p>
      <w:pPr>
        <w:pStyle w:val="IJASEITHeading2"/>
        <w:spacing w:before="160" w:after="60"/>
      </w:pPr>
      <w:r>
        <w:rPr>
          <w:rFonts w:ascii="Times New Roman" w:hAnsi="Times New Roman"/>
          <w:b/>
          <w:sz w:val="22"/>
        </w:rPr>
        <w:t>2.2. Dataset Characteristics and Anti-Leakage Protocol</w:t>
      </w:r>
    </w:p>
    <w:p>
      <w:pPr>
        <w:pStyle w:val="IJASEITParagraph"/>
        <w:spacing w:line="252" w:lineRule="auto" w:after="80"/>
        <w:jc w:val="both"/>
      </w:pPr>
      <w:r>
        <w:rPr>
          <w:rFonts w:ascii="Times New Roman" w:hAnsi="Times New Roman"/>
          <w:sz w:val="20"/>
        </w:rPr>
        <w:t>Recent methodological audits demonstrated that standard public NIDS benchmarks contain severe data leakage, synthetic artifact pollution, and duplicate records across train and test splits [17], [20]. To guarantee audit-proof empirical validity, we curate and decontaminate five multi-domain network intrusion datasets, summarized in Table 1.</w:t>
      </w:r>
    </w:p>
    <w:p>
      <w:pPr>
        <w:spacing w:before="160" w:after="60"/>
        <w:jc w:val="center"/>
      </w:pPr>
      <w:r>
        <w:rPr>
          <w:rFonts w:ascii="Times New Roman" w:hAnsi="Times New Roman"/>
          <w:b/>
          <w:sz w:val="18"/>
        </w:rPr>
        <w:t>Table 1. Benchmark Dataset Characteristics and Decontamination Telemetry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504"/>
        <w:gridCol w:w="1504"/>
        <w:gridCol w:w="1504"/>
        <w:gridCol w:w="1504"/>
        <w:gridCol w:w="1504"/>
        <w:gridCol w:w="1504"/>
      </w:tblGrid>
      <w:tr>
        <w:trPr>
          <w:tblHeader/>
        </w:trPr>
        <w:tc>
          <w:tcPr>
            <w:tcW w:type="dxa" w:w="1504"/>
            <w:tcMar>
              <w:top w:w="80" w:type="dxa"/>
              <w:bottom w:w="80" w:type="dxa"/>
              <w:left w:w="100" w:type="dxa"/>
              <w:right w:w="100" w:type="dxa"/>
            </w:tcMar>
          </w:tcPr>
          <w:p>
            <w:pPr>
              <w:jc w:val="center"/>
            </w:pPr>
            <w:r>
              <w:rPr>
                <w:rFonts w:ascii="Times New Roman" w:hAnsi="Times New Roman"/>
                <w:b/>
                <w:sz w:val="17"/>
              </w:rPr>
              <w:t>Dataset Identifier</w:t>
            </w:r>
          </w:p>
        </w:tc>
        <w:tc>
          <w:tcPr>
            <w:tcW w:type="dxa" w:w="1504"/>
            <w:tcMar>
              <w:top w:w="80" w:type="dxa"/>
              <w:bottom w:w="80" w:type="dxa"/>
              <w:left w:w="100" w:type="dxa"/>
              <w:right w:w="100" w:type="dxa"/>
            </w:tcMar>
          </w:tcPr>
          <w:p>
            <w:pPr>
              <w:jc w:val="center"/>
            </w:pPr>
            <w:r>
              <w:rPr>
                <w:rFonts w:ascii="Times New Roman" w:hAnsi="Times New Roman"/>
                <w:b/>
                <w:sz w:val="17"/>
              </w:rPr>
              <w:t>Raw Records</w:t>
            </w:r>
          </w:p>
        </w:tc>
        <w:tc>
          <w:tcPr>
            <w:tcW w:type="dxa" w:w="1504"/>
            <w:tcMar>
              <w:top w:w="80" w:type="dxa"/>
              <w:bottom w:w="80" w:type="dxa"/>
              <w:left w:w="100" w:type="dxa"/>
              <w:right w:w="100" w:type="dxa"/>
            </w:tcMar>
          </w:tcPr>
          <w:p>
            <w:pPr>
              <w:jc w:val="center"/>
            </w:pPr>
            <w:r>
              <w:rPr>
                <w:rFonts w:ascii="Times New Roman" w:hAnsi="Times New Roman"/>
                <w:b/>
                <w:sz w:val="17"/>
              </w:rPr>
              <w:t>Partition (N)</w:t>
            </w:r>
          </w:p>
        </w:tc>
        <w:tc>
          <w:tcPr>
            <w:tcW w:type="dxa" w:w="1504"/>
            <w:tcMar>
              <w:top w:w="80" w:type="dxa"/>
              <w:bottom w:w="80" w:type="dxa"/>
              <w:left w:w="100" w:type="dxa"/>
              <w:right w:w="100" w:type="dxa"/>
            </w:tcMar>
          </w:tcPr>
          <w:p>
            <w:pPr>
              <w:jc w:val="center"/>
            </w:pPr>
            <w:r>
              <w:rPr>
                <w:rFonts w:ascii="Times New Roman" w:hAnsi="Times New Roman"/>
                <w:b/>
                <w:sz w:val="17"/>
              </w:rPr>
              <w:t>Features (D)</w:t>
            </w:r>
          </w:p>
        </w:tc>
        <w:tc>
          <w:tcPr>
            <w:tcW w:type="dxa" w:w="1504"/>
            <w:tcMar>
              <w:top w:w="80" w:type="dxa"/>
              <w:bottom w:w="80" w:type="dxa"/>
              <w:left w:w="100" w:type="dxa"/>
              <w:right w:w="100" w:type="dxa"/>
            </w:tcMar>
          </w:tcPr>
          <w:p>
            <w:pPr>
              <w:jc w:val="center"/>
            </w:pPr>
            <w:r>
              <w:rPr>
                <w:rFonts w:ascii="Times New Roman" w:hAnsi="Times New Roman"/>
                <w:b/>
                <w:sz w:val="17"/>
              </w:rPr>
              <w:t>Subnet Isolation Scheme</w:t>
            </w:r>
          </w:p>
        </w:tc>
        <w:tc>
          <w:tcPr>
            <w:tcW w:type="dxa" w:w="1504"/>
            <w:tcMar>
              <w:top w:w="80" w:type="dxa"/>
              <w:bottom w:w="80" w:type="dxa"/>
              <w:left w:w="100" w:type="dxa"/>
              <w:right w:w="100" w:type="dxa"/>
            </w:tcMar>
          </w:tcPr>
          <w:p>
            <w:pPr>
              <w:jc w:val="center"/>
            </w:pPr>
            <w:r>
              <w:rPr>
                <w:rFonts w:ascii="Times New Roman" w:hAnsi="Times New Roman"/>
                <w:b/>
                <w:sz w:val="17"/>
              </w:rPr>
              <w:t>Evaluated Attacks</w:t>
            </w:r>
          </w:p>
        </w:tc>
      </w:tr>
      <w:tr>
        <w:tc>
          <w:tcPr>
            <w:tcW w:type="dxa" w:w="1504"/>
            <w:tcMar>
              <w:top w:w="60" w:type="dxa"/>
              <w:bottom w:w="60" w:type="dxa"/>
              <w:left w:w="100" w:type="dxa"/>
              <w:right w:w="100" w:type="dxa"/>
            </w:tcMar>
          </w:tcPr>
          <w:p>
            <w:pPr>
              <w:jc w:val="left"/>
            </w:pPr>
            <w:r>
              <w:rPr>
                <w:rFonts w:ascii="Times New Roman" w:hAnsi="Times New Roman"/>
                <w:sz w:val="16"/>
              </w:rPr>
              <w:t>CICIDS2017 [17]</w:t>
            </w:r>
          </w:p>
        </w:tc>
        <w:tc>
          <w:tcPr>
            <w:tcW w:type="dxa" w:w="1504"/>
            <w:tcMar>
              <w:top w:w="60" w:type="dxa"/>
              <w:bottom w:w="60" w:type="dxa"/>
              <w:left w:w="100" w:type="dxa"/>
              <w:right w:w="100" w:type="dxa"/>
            </w:tcMar>
          </w:tcPr>
          <w:p>
            <w:pPr>
              <w:jc w:val="center"/>
            </w:pPr>
            <w:r>
              <w:rPr>
                <w:rFonts w:ascii="Times New Roman" w:hAnsi="Times New Roman"/>
                <w:sz w:val="16"/>
              </w:rPr>
              <w:t>2,522,000</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78</w:t>
            </w:r>
          </w:p>
        </w:tc>
        <w:tc>
          <w:tcPr>
            <w:tcW w:type="dxa" w:w="1504"/>
            <w:tcMar>
              <w:top w:w="60" w:type="dxa"/>
              <w:bottom w:w="60" w:type="dxa"/>
              <w:left w:w="100" w:type="dxa"/>
              <w:right w:w="100" w:type="dxa"/>
            </w:tcMar>
          </w:tcPr>
          <w:p>
            <w:pPr>
              <w:jc w:val="center"/>
            </w:pPr>
            <w:r>
              <w:rPr>
                <w:rFonts w:ascii="Times New Roman" w:hAnsi="Times New Roman"/>
                <w:sz w:val="16"/>
              </w:rPr>
              <w:t>GroupKFold on /24 subnet masks</w:t>
            </w:r>
          </w:p>
        </w:tc>
        <w:tc>
          <w:tcPr>
            <w:tcW w:type="dxa" w:w="1504"/>
            <w:tcMar>
              <w:top w:w="60" w:type="dxa"/>
              <w:bottom w:w="60" w:type="dxa"/>
              <w:left w:w="100" w:type="dxa"/>
              <w:right w:w="100" w:type="dxa"/>
            </w:tcMar>
          </w:tcPr>
          <w:p>
            <w:pPr>
              <w:jc w:val="center"/>
            </w:pPr>
            <w:r>
              <w:rPr>
                <w:rFonts w:ascii="Times New Roman" w:hAnsi="Times New Roman"/>
                <w:sz w:val="16"/>
              </w:rPr>
              <w:t>DoS, DDoS, PortScan, Botnet, Infiltration</w:t>
            </w:r>
          </w:p>
        </w:tc>
      </w:tr>
      <w:tr>
        <w:tc>
          <w:tcPr>
            <w:tcW w:type="dxa" w:w="1504"/>
            <w:tcMar>
              <w:top w:w="60" w:type="dxa"/>
              <w:bottom w:w="60" w:type="dxa"/>
              <w:left w:w="100" w:type="dxa"/>
              <w:right w:w="100" w:type="dxa"/>
            </w:tcMar>
          </w:tcPr>
          <w:p>
            <w:pPr>
              <w:jc w:val="left"/>
            </w:pPr>
            <w:r>
              <w:rPr>
                <w:rFonts w:ascii="Times New Roman" w:hAnsi="Times New Roman"/>
                <w:sz w:val="16"/>
              </w:rPr>
              <w:t>UNSW-NB15 [13]</w:t>
            </w:r>
          </w:p>
        </w:tc>
        <w:tc>
          <w:tcPr>
            <w:tcW w:type="dxa" w:w="1504"/>
            <w:tcMar>
              <w:top w:w="60" w:type="dxa"/>
              <w:bottom w:w="60" w:type="dxa"/>
              <w:left w:w="100" w:type="dxa"/>
              <w:right w:w="100" w:type="dxa"/>
            </w:tcMar>
          </w:tcPr>
          <w:p>
            <w:pPr>
              <w:jc w:val="center"/>
            </w:pPr>
            <w:r>
              <w:rPr>
                <w:rFonts w:ascii="Times New Roman" w:hAnsi="Times New Roman"/>
                <w:sz w:val="16"/>
              </w:rPr>
              <w:t>2,540,044</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49</w:t>
            </w:r>
          </w:p>
        </w:tc>
        <w:tc>
          <w:tcPr>
            <w:tcW w:type="dxa" w:w="1504"/>
            <w:tcMar>
              <w:top w:w="60" w:type="dxa"/>
              <w:bottom w:w="60" w:type="dxa"/>
              <w:left w:w="100" w:type="dxa"/>
              <w:right w:w="100" w:type="dxa"/>
            </w:tcMar>
          </w:tcPr>
          <w:p>
            <w:pPr>
              <w:jc w:val="center"/>
            </w:pPr>
            <w:r>
              <w:rPr>
                <w:rFonts w:ascii="Times New Roman" w:hAnsi="Times New Roman"/>
                <w:sz w:val="16"/>
              </w:rPr>
              <w:t>GroupKFold on IP subnet pairs</w:t>
            </w:r>
          </w:p>
        </w:tc>
        <w:tc>
          <w:tcPr>
            <w:tcW w:type="dxa" w:w="1504"/>
            <w:tcMar>
              <w:top w:w="60" w:type="dxa"/>
              <w:bottom w:w="60" w:type="dxa"/>
              <w:left w:w="100" w:type="dxa"/>
              <w:right w:w="100" w:type="dxa"/>
            </w:tcMar>
          </w:tcPr>
          <w:p>
            <w:pPr>
              <w:jc w:val="center"/>
            </w:pPr>
            <w:r>
              <w:rPr>
                <w:rFonts w:ascii="Times New Roman" w:hAnsi="Times New Roman"/>
                <w:sz w:val="16"/>
              </w:rPr>
              <w:t>Exploits, Reconnaissance, DoS, Generic, Fuzzers</w:t>
            </w:r>
          </w:p>
        </w:tc>
      </w:tr>
      <w:tr>
        <w:tc>
          <w:tcPr>
            <w:tcW w:type="dxa" w:w="1504"/>
            <w:tcMar>
              <w:top w:w="60" w:type="dxa"/>
              <w:bottom w:w="60" w:type="dxa"/>
              <w:left w:w="100" w:type="dxa"/>
              <w:right w:w="100" w:type="dxa"/>
            </w:tcMar>
          </w:tcPr>
          <w:p>
            <w:pPr>
              <w:jc w:val="left"/>
            </w:pPr>
            <w:r>
              <w:rPr>
                <w:rFonts w:ascii="Times New Roman" w:hAnsi="Times New Roman"/>
                <w:sz w:val="16"/>
              </w:rPr>
              <w:t>TON_IoT [18]</w:t>
            </w:r>
          </w:p>
        </w:tc>
        <w:tc>
          <w:tcPr>
            <w:tcW w:type="dxa" w:w="1504"/>
            <w:tcMar>
              <w:top w:w="60" w:type="dxa"/>
              <w:bottom w:w="60" w:type="dxa"/>
              <w:left w:w="100" w:type="dxa"/>
              <w:right w:w="100" w:type="dxa"/>
            </w:tcMar>
          </w:tcPr>
          <w:p>
            <w:pPr>
              <w:jc w:val="center"/>
            </w:pPr>
            <w:r>
              <w:rPr>
                <w:rFonts w:ascii="Times New Roman" w:hAnsi="Times New Roman"/>
                <w:sz w:val="16"/>
              </w:rPr>
              <w:t>4,610,455</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43</w:t>
            </w:r>
          </w:p>
        </w:tc>
        <w:tc>
          <w:tcPr>
            <w:tcW w:type="dxa" w:w="1504"/>
            <w:tcMar>
              <w:top w:w="60" w:type="dxa"/>
              <w:bottom w:w="60" w:type="dxa"/>
              <w:left w:w="100" w:type="dxa"/>
              <w:right w:w="100" w:type="dxa"/>
            </w:tcMar>
          </w:tcPr>
          <w:p>
            <w:pPr>
              <w:jc w:val="center"/>
            </w:pPr>
            <w:r>
              <w:rPr>
                <w:rFonts w:ascii="Times New Roman" w:hAnsi="Times New Roman"/>
                <w:sz w:val="16"/>
              </w:rPr>
              <w:t>Temporal session &amp; edge node grouping</w:t>
            </w:r>
          </w:p>
        </w:tc>
        <w:tc>
          <w:tcPr>
            <w:tcW w:type="dxa" w:w="1504"/>
            <w:tcMar>
              <w:top w:w="60" w:type="dxa"/>
              <w:bottom w:w="60" w:type="dxa"/>
              <w:left w:w="100" w:type="dxa"/>
              <w:right w:w="100" w:type="dxa"/>
            </w:tcMar>
          </w:tcPr>
          <w:p>
            <w:pPr>
              <w:jc w:val="center"/>
            </w:pPr>
            <w:r>
              <w:rPr>
                <w:rFonts w:ascii="Times New Roman" w:hAnsi="Times New Roman"/>
                <w:sz w:val="16"/>
              </w:rPr>
              <w:t>Backdoor, Injection, DDoS, Scanning, Ransomware</w:t>
            </w:r>
          </w:p>
        </w:tc>
      </w:tr>
      <w:tr>
        <w:tc>
          <w:tcPr>
            <w:tcW w:type="dxa" w:w="1504"/>
            <w:tcMar>
              <w:top w:w="60" w:type="dxa"/>
              <w:bottom w:w="60" w:type="dxa"/>
              <w:left w:w="100" w:type="dxa"/>
              <w:right w:w="100" w:type="dxa"/>
            </w:tcMar>
          </w:tcPr>
          <w:p>
            <w:pPr>
              <w:jc w:val="left"/>
            </w:pPr>
            <w:r>
              <w:rPr>
                <w:rFonts w:ascii="Times New Roman" w:hAnsi="Times New Roman"/>
                <w:sz w:val="16"/>
              </w:rPr>
              <w:t>CIC-DDoS2019 [19]</w:t>
            </w:r>
          </w:p>
        </w:tc>
        <w:tc>
          <w:tcPr>
            <w:tcW w:type="dxa" w:w="1504"/>
            <w:tcMar>
              <w:top w:w="60" w:type="dxa"/>
              <w:bottom w:w="60" w:type="dxa"/>
              <w:left w:w="100" w:type="dxa"/>
              <w:right w:w="100" w:type="dxa"/>
            </w:tcMar>
          </w:tcPr>
          <w:p>
            <w:pPr>
              <w:jc w:val="center"/>
            </w:pPr>
            <w:r>
              <w:rPr>
                <w:rFonts w:ascii="Times New Roman" w:hAnsi="Times New Roman"/>
                <w:sz w:val="16"/>
              </w:rPr>
              <w:t>426,076</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65</w:t>
            </w:r>
          </w:p>
        </w:tc>
        <w:tc>
          <w:tcPr>
            <w:tcW w:type="dxa" w:w="1504"/>
            <w:tcMar>
              <w:top w:w="60" w:type="dxa"/>
              <w:bottom w:w="60" w:type="dxa"/>
              <w:left w:w="100" w:type="dxa"/>
              <w:right w:w="100" w:type="dxa"/>
            </w:tcMar>
          </w:tcPr>
          <w:p>
            <w:pPr>
              <w:jc w:val="center"/>
            </w:pPr>
            <w:r>
              <w:rPr>
                <w:rFonts w:ascii="Times New Roman" w:hAnsi="Times New Roman"/>
                <w:sz w:val="16"/>
              </w:rPr>
              <w:t>GroupKFold on client-server IP pairs</w:t>
            </w:r>
          </w:p>
        </w:tc>
        <w:tc>
          <w:tcPr>
            <w:tcW w:type="dxa" w:w="1504"/>
            <w:tcMar>
              <w:top w:w="60" w:type="dxa"/>
              <w:bottom w:w="60" w:type="dxa"/>
              <w:left w:w="100" w:type="dxa"/>
              <w:right w:w="100" w:type="dxa"/>
            </w:tcMar>
          </w:tcPr>
          <w:p>
            <w:pPr>
              <w:jc w:val="center"/>
            </w:pPr>
            <w:r>
              <w:rPr>
                <w:rFonts w:ascii="Times New Roman" w:hAnsi="Times New Roman"/>
                <w:sz w:val="16"/>
              </w:rPr>
              <w:t>TFTP, DrDoS_NTP, Syn, UDP, MSSQL, LDAP</w:t>
            </w:r>
          </w:p>
        </w:tc>
      </w:tr>
      <w:tr>
        <w:tc>
          <w:tcPr>
            <w:tcW w:type="dxa" w:w="1504"/>
            <w:tcMar>
              <w:top w:w="60" w:type="dxa"/>
              <w:bottom w:w="60" w:type="dxa"/>
              <w:left w:w="100" w:type="dxa"/>
              <w:right w:w="100" w:type="dxa"/>
            </w:tcMar>
          </w:tcPr>
          <w:p>
            <w:pPr>
              <w:jc w:val="left"/>
            </w:pPr>
            <w:r>
              <w:rPr>
                <w:rFonts w:ascii="Times New Roman" w:hAnsi="Times New Roman"/>
                <w:sz w:val="16"/>
              </w:rPr>
              <w:t>NSL-KDD</w:t>
            </w:r>
          </w:p>
        </w:tc>
        <w:tc>
          <w:tcPr>
            <w:tcW w:type="dxa" w:w="1504"/>
            <w:tcMar>
              <w:top w:w="60" w:type="dxa"/>
              <w:bottom w:w="60" w:type="dxa"/>
              <w:left w:w="100" w:type="dxa"/>
              <w:right w:w="100" w:type="dxa"/>
            </w:tcMar>
          </w:tcPr>
          <w:p>
            <w:pPr>
              <w:jc w:val="center"/>
            </w:pPr>
            <w:r>
              <w:rPr>
                <w:rFonts w:ascii="Times New Roman" w:hAnsi="Times New Roman"/>
                <w:sz w:val="16"/>
              </w:rPr>
              <w:t>148,517</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41</w:t>
            </w:r>
          </w:p>
        </w:tc>
        <w:tc>
          <w:tcPr>
            <w:tcW w:type="dxa" w:w="1504"/>
            <w:tcMar>
              <w:top w:w="60" w:type="dxa"/>
              <w:bottom w:w="60" w:type="dxa"/>
              <w:left w:w="100" w:type="dxa"/>
              <w:right w:w="100" w:type="dxa"/>
            </w:tcMar>
          </w:tcPr>
          <w:p>
            <w:pPr>
              <w:jc w:val="center"/>
            </w:pPr>
            <w:r>
              <w:rPr>
                <w:rFonts w:ascii="Times New Roman" w:hAnsi="Times New Roman"/>
                <w:sz w:val="16"/>
              </w:rPr>
              <w:t>Service-protocol interaction grouping</w:t>
            </w:r>
          </w:p>
        </w:tc>
        <w:tc>
          <w:tcPr>
            <w:tcW w:type="dxa" w:w="1504"/>
            <w:tcMar>
              <w:top w:w="60" w:type="dxa"/>
              <w:bottom w:w="60" w:type="dxa"/>
              <w:left w:w="100" w:type="dxa"/>
              <w:right w:w="100" w:type="dxa"/>
            </w:tcMar>
          </w:tcPr>
          <w:p>
            <w:pPr>
              <w:jc w:val="center"/>
            </w:pPr>
            <w:r>
              <w:rPr>
                <w:rFonts w:ascii="Times New Roman" w:hAnsi="Times New Roman"/>
                <w:sz w:val="16"/>
              </w:rPr>
              <w:t>DoS, Probe, R2L, U2R</w:t>
            </w:r>
          </w:p>
        </w:tc>
      </w:tr>
    </w:tbl>
    <w:p>
      <w:pPr>
        <w:spacing w:before="0" w:after="120"/>
      </w:pPr>
    </w:p>
    <w:p>
      <w:pPr>
        <w:pStyle w:val="IJASEITParagraph"/>
        <w:spacing w:line="252" w:lineRule="auto" w:after="80"/>
        <w:jc w:val="both"/>
      </w:pPr>
      <w:r>
        <w:rPr>
          <w:rFonts w:ascii="Times New Roman" w:hAnsi="Times New Roman"/>
          <w:sz w:val="20"/>
        </w:rPr>
        <w:t>To prevent distributional leakage, we enforce subnet-isolated GroupKFold partitioning based on IPv4 /24 network address masks. For folds 1 and 2, we actively purge selected rare attack classes from the training partition while retaining them in validation splits to measure zero-day induction transfer. Scalers are fitted strictly on training subsets to prevent statistical feature leakage into test manifolds.</w:t>
      </w:r>
    </w:p>
    <w:p>
      <w:pPr>
        <w:pStyle w:val="IJASEITHeading2"/>
        <w:spacing w:before="160" w:after="60"/>
      </w:pPr>
      <w:r>
        <w:rPr>
          <w:rFonts w:ascii="Times New Roman" w:hAnsi="Times New Roman"/>
          <w:b/>
          <w:sz w:val="22"/>
        </w:rPr>
        <w:t>2.3. Evaluated Model Families and Algorithmic Mechanics</w:t>
      </w:r>
    </w:p>
    <w:p>
      <w:pPr>
        <w:pStyle w:val="IJASEITParagraph"/>
        <w:spacing w:line="252" w:lineRule="auto" w:after="80"/>
        <w:jc w:val="both"/>
      </w:pPr>
      <w:r>
        <w:rPr>
          <w:rFonts w:ascii="Times New Roman" w:hAnsi="Times New Roman"/>
          <w:sz w:val="20"/>
        </w:rPr>
        <w:t>We evaluate eight representative architectures covering four core paradigms: (1) Gradient-Boosted Decision Trees (LightGBM and XGBoost), constructing ensembles of shallow decision trees via gradient-based split finding; (2) Tabular Deep Learning (FT-Transformer [6] and SAINT [7]), deploying numerical token embeddings and multi-head attention; (3) Selective State Space Models (Mambular SSM [10]), adapting continuous selective state-space scans [9] to tabular sequences via Zero-Order Hold discretization, executing linear-time associative scans in GPU SRAM; (4) Relational Graph Neural Networks (GraphIDS [26]), executing message passing over communication flow topologies [27]; and (5) Tabular Foundation Models (TabPFN v3 [11] and TabICL v2 [12]), executing in-context Bayesian inference over synthetic causal priors [28].</w:t>
      </w:r>
    </w:p>
    <w:p>
      <w:pPr>
        <w:pStyle w:val="IJASEITHeading2"/>
        <w:spacing w:before="160" w:after="60"/>
      </w:pPr>
      <w:r>
        <w:rPr>
          <w:rFonts w:ascii="Times New Roman" w:hAnsi="Times New Roman"/>
          <w:b/>
          <w:sz w:val="22"/>
        </w:rPr>
        <w:t>2.4. Dual-Track Experimental Architecture</w:t>
      </w:r>
    </w:p>
    <w:p>
      <w:pPr>
        <w:pStyle w:val="IJASEITParagraph"/>
        <w:spacing w:line="252" w:lineRule="auto" w:after="80"/>
        <w:jc w:val="both"/>
      </w:pPr>
      <w:r>
        <w:rPr>
          <w:rFonts w:ascii="Times New Roman" w:hAnsi="Times New Roman"/>
          <w:sz w:val="20"/>
        </w:rPr>
        <w:t>To resolve computational incommensurability across diverse model families, we decouple evaluation into two operational tracks: Track A (Few-Shot Zero-Day Generalization Track) standardizes training on N &lt;= 10,000 records per fold across all five datasets with active zero-day holdout induction; Track B (Industrial Streaming Scalability Track) evaluates high-throughput architectures across expanding sample sizes (N in {50k, 100k, 190.5k, 250k}), tracking active CUDA device memory allocation directly from GPU runtime alongside per-flow latency.</w:t>
      </w:r>
    </w:p>
    <w:p>
      <w:pPr>
        <w:pStyle w:val="IJASEITHeading2"/>
        <w:spacing w:before="160" w:after="60"/>
      </w:pPr>
      <w:r>
        <w:rPr>
          <w:rFonts w:ascii="Times New Roman" w:hAnsi="Times New Roman"/>
          <w:b/>
          <w:sz w:val="22"/>
        </w:rPr>
        <w:t>2.5. Non-Parametric Significance and Causal Discovery Framework</w:t>
      </w:r>
    </w:p>
    <w:p>
      <w:pPr>
        <w:pStyle w:val="IJASEITParagraph"/>
        <w:spacing w:line="252" w:lineRule="auto" w:after="80"/>
        <w:jc w:val="both"/>
      </w:pPr>
      <w:r>
        <w:rPr>
          <w:rFonts w:ascii="Times New Roman" w:hAnsi="Times New Roman"/>
          <w:sz w:val="20"/>
        </w:rPr>
        <w:t>To evaluate whether observed performance differences represent genuine architectural advantages, we execute Demšar's non-parametric testing suite [21], computing Friedman chi-square, Iman-Davenport F-correction, and Nemenyi Critical Difference (CD) at alpha = 0.05. Furthermore, we apply Triangular Fuzzy DEMATEL [22], [23], [24], [29] across seven operational factors: Model Architecture (F1), Sample Size (F2), Latency (F3), Memory Footprint (F4), Seen F1 (F5), Unseen Zero-Day F1 (F6), and Noise Robustness (F7). We execute 10,000 Monte Carlo perturbation iterations to establish Kendall's concordance index (W &gt;= 0.95) and validate the resulting causal topology using DirectLiNGAM non-Gaussian causal discovery [25] (SHD &lt;= 2).</w:t>
      </w:r>
    </w:p>
    <w:p>
      <w:pPr>
        <w:pStyle w:val="IJASEITHeading1"/>
        <w:spacing w:before="240" w:after="80"/>
      </w:pPr>
      <w:r>
        <w:rPr>
          <w:rFonts w:ascii="Times New Roman" w:hAnsi="Times New Roman"/>
          <w:b/>
          <w:sz w:val="26"/>
        </w:rPr>
        <w:t>3. Results And Discussion</w:t>
      </w:r>
    </w:p>
    <w:p>
      <w:pPr>
        <w:pStyle w:val="IJASEITHeading2"/>
        <w:spacing w:before="160" w:after="60"/>
      </w:pPr>
      <w:r>
        <w:rPr>
          <w:rFonts w:ascii="Times New Roman" w:hAnsi="Times New Roman"/>
          <w:b/>
          <w:sz w:val="22"/>
        </w:rPr>
        <w:t>3.1. Track A Benchmark Results and Zero-Day Generalization Trade-offs</w:t>
      </w:r>
    </w:p>
    <w:p>
      <w:pPr>
        <w:pStyle w:val="IJASEITParagraph"/>
        <w:spacing w:line="252" w:lineRule="auto" w:after="80"/>
        <w:jc w:val="both"/>
      </w:pPr>
      <w:r>
        <w:rPr>
          <w:rFonts w:ascii="Times New Roman" w:hAnsi="Times New Roman"/>
          <w:sz w:val="20"/>
        </w:rPr>
        <w:t>Table 2 details the consolidated performance metrics across eight architectures and five decontaminated intrusion datasets under the 5-fold zero-day holdout protocol.</w:t>
      </w:r>
    </w:p>
    <w:p>
      <w:pPr>
        <w:spacing w:before="160" w:after="60"/>
        <w:jc w:val="center"/>
      </w:pPr>
      <w:r>
        <w:rPr>
          <w:rFonts w:ascii="Times New Roman" w:hAnsi="Times New Roman"/>
          <w:b/>
          <w:sz w:val="18"/>
        </w:rPr>
        <w:t>Table 2. Multi-Paradigm Benchmark Evaluation and Task-Technology Fit Utilities (Master Summary)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821"/>
        <w:gridCol w:w="821"/>
        <w:gridCol w:w="821"/>
        <w:gridCol w:w="821"/>
        <w:gridCol w:w="821"/>
        <w:gridCol w:w="821"/>
        <w:gridCol w:w="821"/>
        <w:gridCol w:w="821"/>
        <w:gridCol w:w="821"/>
        <w:gridCol w:w="821"/>
        <w:gridCol w:w="821"/>
      </w:tblGrid>
      <w:tr>
        <w:trPr>
          <w:tblHeader/>
        </w:trPr>
        <w:tc>
          <w:tcPr>
            <w:tcW w:type="dxa" w:w="821"/>
            <w:tcMar>
              <w:top w:w="80" w:type="dxa"/>
              <w:bottom w:w="80" w:type="dxa"/>
              <w:left w:w="100" w:type="dxa"/>
              <w:right w:w="100" w:type="dxa"/>
            </w:tcMar>
          </w:tcPr>
          <w:p>
            <w:pPr>
              <w:jc w:val="center"/>
            </w:pPr>
            <w:r>
              <w:rPr>
                <w:rFonts w:ascii="Times New Roman" w:hAnsi="Times New Roman"/>
                <w:b/>
                <w:sz w:val="17"/>
              </w:rPr>
              <w:t>Architecture</w:t>
            </w:r>
          </w:p>
        </w:tc>
        <w:tc>
          <w:tcPr>
            <w:tcW w:type="dxa" w:w="821"/>
            <w:tcMar>
              <w:top w:w="80" w:type="dxa"/>
              <w:bottom w:w="80" w:type="dxa"/>
              <w:left w:w="100" w:type="dxa"/>
              <w:right w:w="100" w:type="dxa"/>
            </w:tcMar>
          </w:tcPr>
          <w:p>
            <w:pPr>
              <w:jc w:val="center"/>
            </w:pPr>
            <w:r>
              <w:rPr>
                <w:rFonts w:ascii="Times New Roman" w:hAnsi="Times New Roman"/>
                <w:b/>
                <w:sz w:val="17"/>
              </w:rPr>
              <w:t>Macro F1</w:t>
            </w:r>
          </w:p>
        </w:tc>
        <w:tc>
          <w:tcPr>
            <w:tcW w:type="dxa" w:w="821"/>
            <w:tcMar>
              <w:top w:w="80" w:type="dxa"/>
              <w:bottom w:w="80" w:type="dxa"/>
              <w:left w:w="100" w:type="dxa"/>
              <w:right w:w="100" w:type="dxa"/>
            </w:tcMar>
          </w:tcPr>
          <w:p>
            <w:pPr>
              <w:jc w:val="center"/>
            </w:pPr>
            <w:r>
              <w:rPr>
                <w:rFonts w:ascii="Times New Roman" w:hAnsi="Times New Roman"/>
                <w:b/>
                <w:sz w:val="17"/>
              </w:rPr>
              <w:t>Seen F1</w:t>
            </w:r>
          </w:p>
        </w:tc>
        <w:tc>
          <w:tcPr>
            <w:tcW w:type="dxa" w:w="821"/>
            <w:tcMar>
              <w:top w:w="80" w:type="dxa"/>
              <w:bottom w:w="80" w:type="dxa"/>
              <w:left w:w="100" w:type="dxa"/>
              <w:right w:w="100" w:type="dxa"/>
            </w:tcMar>
          </w:tcPr>
          <w:p>
            <w:pPr>
              <w:jc w:val="center"/>
            </w:pPr>
            <w:r>
              <w:rPr>
                <w:rFonts w:ascii="Times New Roman" w:hAnsi="Times New Roman"/>
                <w:b/>
                <w:sz w:val="17"/>
              </w:rPr>
              <w:t>Unseen F1</w:t>
            </w:r>
          </w:p>
        </w:tc>
        <w:tc>
          <w:tcPr>
            <w:tcW w:type="dxa" w:w="821"/>
            <w:tcMar>
              <w:top w:w="80" w:type="dxa"/>
              <w:bottom w:w="80" w:type="dxa"/>
              <w:left w:w="100" w:type="dxa"/>
              <w:right w:w="100" w:type="dxa"/>
            </w:tcMar>
          </w:tcPr>
          <w:p>
            <w:pPr>
              <w:jc w:val="center"/>
            </w:pPr>
            <w:r>
              <w:rPr>
                <w:rFonts w:ascii="Times New Roman" w:hAnsi="Times New Roman"/>
                <w:b/>
                <w:sz w:val="17"/>
              </w:rPr>
              <w:t>ROC-AUC</w:t>
            </w:r>
          </w:p>
        </w:tc>
        <w:tc>
          <w:tcPr>
            <w:tcW w:type="dxa" w:w="821"/>
            <w:tcMar>
              <w:top w:w="80" w:type="dxa"/>
              <w:bottom w:w="80" w:type="dxa"/>
              <w:left w:w="100" w:type="dxa"/>
              <w:right w:w="100" w:type="dxa"/>
            </w:tcMar>
          </w:tcPr>
          <w:p>
            <w:pPr>
              <w:jc w:val="center"/>
            </w:pPr>
            <w:r>
              <w:rPr>
                <w:rFonts w:ascii="Times New Roman" w:hAnsi="Times New Roman"/>
                <w:b/>
                <w:sz w:val="17"/>
              </w:rPr>
              <w:t>Latency (ms)</w:t>
            </w:r>
          </w:p>
        </w:tc>
        <w:tc>
          <w:tcPr>
            <w:tcW w:type="dxa" w:w="821"/>
            <w:tcMar>
              <w:top w:w="80" w:type="dxa"/>
              <w:bottom w:w="80" w:type="dxa"/>
              <w:left w:w="100" w:type="dxa"/>
              <w:right w:w="100" w:type="dxa"/>
            </w:tcMar>
          </w:tcPr>
          <w:p>
            <w:pPr>
              <w:jc w:val="center"/>
            </w:pPr>
            <w:r>
              <w:rPr>
                <w:rFonts w:ascii="Times New Roman" w:hAnsi="Times New Roman"/>
                <w:b/>
                <w:sz w:val="17"/>
              </w:rPr>
              <w:t>Throughput (f/s)</w:t>
            </w:r>
          </w:p>
        </w:tc>
        <w:tc>
          <w:tcPr>
            <w:tcW w:type="dxa" w:w="821"/>
            <w:tcMar>
              <w:top w:w="80" w:type="dxa"/>
              <w:bottom w:w="80" w:type="dxa"/>
              <w:left w:w="100" w:type="dxa"/>
              <w:right w:w="100" w:type="dxa"/>
            </w:tcMar>
          </w:tcPr>
          <w:p>
            <w:pPr>
              <w:jc w:val="center"/>
            </w:pPr>
            <w:r>
              <w:rPr>
                <w:rFonts w:ascii="Times New Roman" w:hAnsi="Times New Roman"/>
                <w:b/>
                <w:sz w:val="17"/>
              </w:rPr>
              <w:t>VRAM (MB)</w:t>
            </w:r>
          </w:p>
        </w:tc>
        <w:tc>
          <w:tcPr>
            <w:tcW w:type="dxa" w:w="821"/>
            <w:tcMar>
              <w:top w:w="80" w:type="dxa"/>
              <w:bottom w:w="80" w:type="dxa"/>
              <w:left w:w="100" w:type="dxa"/>
              <w:right w:w="100" w:type="dxa"/>
            </w:tcMar>
          </w:tcPr>
          <w:p>
            <w:pPr>
              <w:jc w:val="center"/>
            </w:pPr>
            <w:r>
              <w:rPr>
                <w:rFonts w:ascii="Times New Roman" w:hAnsi="Times New Roman"/>
                <w:b/>
                <w:sz w:val="17"/>
              </w:rPr>
              <w:t>U(T1)</w:t>
            </w:r>
          </w:p>
        </w:tc>
        <w:tc>
          <w:tcPr>
            <w:tcW w:type="dxa" w:w="821"/>
            <w:tcMar>
              <w:top w:w="80" w:type="dxa"/>
              <w:bottom w:w="80" w:type="dxa"/>
              <w:left w:w="100" w:type="dxa"/>
              <w:right w:w="100" w:type="dxa"/>
            </w:tcMar>
          </w:tcPr>
          <w:p>
            <w:pPr>
              <w:jc w:val="center"/>
            </w:pPr>
            <w:r>
              <w:rPr>
                <w:rFonts w:ascii="Times New Roman" w:hAnsi="Times New Roman"/>
                <w:b/>
                <w:sz w:val="17"/>
              </w:rPr>
              <w:t>U(T2)</w:t>
            </w:r>
          </w:p>
        </w:tc>
        <w:tc>
          <w:tcPr>
            <w:tcW w:type="dxa" w:w="821"/>
            <w:tcMar>
              <w:top w:w="80" w:type="dxa"/>
              <w:bottom w:w="80" w:type="dxa"/>
              <w:left w:w="100" w:type="dxa"/>
              <w:right w:w="100" w:type="dxa"/>
            </w:tcMar>
          </w:tcPr>
          <w:p>
            <w:pPr>
              <w:jc w:val="center"/>
            </w:pPr>
            <w:r>
              <w:rPr>
                <w:rFonts w:ascii="Times New Roman" w:hAnsi="Times New Roman"/>
                <w:b/>
                <w:sz w:val="17"/>
              </w:rPr>
              <w:t>U(T3)</w:t>
            </w:r>
          </w:p>
        </w:tc>
      </w:tr>
      <w:tr>
        <w:tc>
          <w:tcPr>
            <w:tcW w:type="dxa" w:w="821"/>
            <w:tcMar>
              <w:top w:w="60" w:type="dxa"/>
              <w:bottom w:w="60" w:type="dxa"/>
              <w:left w:w="100" w:type="dxa"/>
              <w:right w:w="100" w:type="dxa"/>
            </w:tcMar>
          </w:tcPr>
          <w:p>
            <w:pPr>
              <w:jc w:val="left"/>
            </w:pPr>
            <w:r>
              <w:rPr>
                <w:rFonts w:ascii="Times New Roman" w:hAnsi="Times New Roman"/>
                <w:sz w:val="16"/>
              </w:rPr>
              <w:t>LightGBM</w:t>
            </w:r>
          </w:p>
        </w:tc>
        <w:tc>
          <w:tcPr>
            <w:tcW w:type="dxa" w:w="821"/>
            <w:tcMar>
              <w:top w:w="60" w:type="dxa"/>
              <w:bottom w:w="60" w:type="dxa"/>
              <w:left w:w="100" w:type="dxa"/>
              <w:right w:w="100" w:type="dxa"/>
            </w:tcMar>
          </w:tcPr>
          <w:p>
            <w:pPr>
              <w:jc w:val="left"/>
            </w:pPr>
            <w:r>
              <w:rPr>
                <w:rFonts w:ascii="Times New Roman" w:hAnsi="Times New Roman"/>
                <w:sz w:val="16"/>
              </w:rPr>
              <w:t>0.8700</w:t>
            </w:r>
          </w:p>
        </w:tc>
        <w:tc>
          <w:tcPr>
            <w:tcW w:type="dxa" w:w="821"/>
            <w:tcMar>
              <w:top w:w="60" w:type="dxa"/>
              <w:bottom w:w="60" w:type="dxa"/>
              <w:left w:w="100" w:type="dxa"/>
              <w:right w:w="100" w:type="dxa"/>
            </w:tcMar>
          </w:tcPr>
          <w:p>
            <w:pPr>
              <w:jc w:val="center"/>
            </w:pPr>
            <w:r>
              <w:rPr>
                <w:rFonts w:ascii="Times New Roman" w:hAnsi="Times New Roman"/>
                <w:sz w:val="16"/>
              </w:rPr>
              <w:t>0.9470</w:t>
            </w:r>
          </w:p>
        </w:tc>
        <w:tc>
          <w:tcPr>
            <w:tcW w:type="dxa" w:w="821"/>
            <w:tcMar>
              <w:top w:w="60" w:type="dxa"/>
              <w:bottom w:w="60" w:type="dxa"/>
              <w:left w:w="100" w:type="dxa"/>
              <w:right w:w="100" w:type="dxa"/>
            </w:tcMar>
          </w:tcPr>
          <w:p>
            <w:pPr>
              <w:jc w:val="center"/>
            </w:pPr>
            <w:r>
              <w:rPr>
                <w:rFonts w:ascii="Times New Roman" w:hAnsi="Times New Roman"/>
                <w:sz w:val="16"/>
              </w:rPr>
              <w:t>0.5999</w:t>
            </w:r>
          </w:p>
        </w:tc>
        <w:tc>
          <w:tcPr>
            <w:tcW w:type="dxa" w:w="821"/>
            <w:tcMar>
              <w:top w:w="60" w:type="dxa"/>
              <w:bottom w:w="60" w:type="dxa"/>
              <w:left w:w="100" w:type="dxa"/>
              <w:right w:w="100" w:type="dxa"/>
            </w:tcMar>
          </w:tcPr>
          <w:p>
            <w:pPr>
              <w:jc w:val="center"/>
            </w:pPr>
            <w:r>
              <w:rPr>
                <w:rFonts w:ascii="Times New Roman" w:hAnsi="Times New Roman"/>
                <w:sz w:val="16"/>
              </w:rPr>
              <w:t>0.9095</w:t>
            </w:r>
          </w:p>
        </w:tc>
        <w:tc>
          <w:tcPr>
            <w:tcW w:type="dxa" w:w="821"/>
            <w:tcMar>
              <w:top w:w="60" w:type="dxa"/>
              <w:bottom w:w="60" w:type="dxa"/>
              <w:left w:w="100" w:type="dxa"/>
              <w:right w:w="100" w:type="dxa"/>
            </w:tcMar>
          </w:tcPr>
          <w:p>
            <w:pPr>
              <w:jc w:val="center"/>
            </w:pPr>
            <w:r>
              <w:rPr>
                <w:rFonts w:ascii="Times New Roman" w:hAnsi="Times New Roman"/>
                <w:sz w:val="16"/>
              </w:rPr>
              <w:t>0.0025</w:t>
            </w:r>
          </w:p>
        </w:tc>
        <w:tc>
          <w:tcPr>
            <w:tcW w:type="dxa" w:w="821"/>
            <w:tcMar>
              <w:top w:w="60" w:type="dxa"/>
              <w:bottom w:w="60" w:type="dxa"/>
              <w:left w:w="100" w:type="dxa"/>
              <w:right w:w="100" w:type="dxa"/>
            </w:tcMar>
          </w:tcPr>
          <w:p>
            <w:pPr>
              <w:jc w:val="center"/>
            </w:pPr>
            <w:r>
              <w:rPr>
                <w:rFonts w:ascii="Times New Roman" w:hAnsi="Times New Roman"/>
                <w:sz w:val="16"/>
              </w:rPr>
              <w:t>447,975.3</w:t>
            </w:r>
          </w:p>
        </w:tc>
        <w:tc>
          <w:tcPr>
            <w:tcW w:type="dxa" w:w="821"/>
            <w:tcMar>
              <w:top w:w="60" w:type="dxa"/>
              <w:bottom w:w="60" w:type="dxa"/>
              <w:left w:w="100" w:type="dxa"/>
              <w:right w:w="100" w:type="dxa"/>
            </w:tcMar>
          </w:tcPr>
          <w:p>
            <w:pPr>
              <w:jc w:val="center"/>
            </w:pPr>
            <w:r>
              <w:rPr>
                <w:rFonts w:ascii="Times New Roman" w:hAnsi="Times New Roman"/>
                <w:sz w:val="16"/>
              </w:rPr>
              <w:t>2,187.59</w:t>
            </w:r>
          </w:p>
        </w:tc>
        <w:tc>
          <w:tcPr>
            <w:tcW w:type="dxa" w:w="821"/>
            <w:tcMar>
              <w:top w:w="60" w:type="dxa"/>
              <w:bottom w:w="60" w:type="dxa"/>
              <w:left w:w="100" w:type="dxa"/>
              <w:right w:w="100" w:type="dxa"/>
            </w:tcMar>
          </w:tcPr>
          <w:p>
            <w:pPr>
              <w:jc w:val="center"/>
            </w:pPr>
            <w:r>
              <w:rPr>
                <w:rFonts w:ascii="Times New Roman" w:hAnsi="Times New Roman"/>
                <w:sz w:val="16"/>
              </w:rPr>
              <w:t>0.6990</w:t>
            </w:r>
          </w:p>
        </w:tc>
        <w:tc>
          <w:tcPr>
            <w:tcW w:type="dxa" w:w="821"/>
            <w:tcMar>
              <w:top w:w="60" w:type="dxa"/>
              <w:bottom w:w="60" w:type="dxa"/>
              <w:left w:w="100" w:type="dxa"/>
              <w:right w:w="100" w:type="dxa"/>
            </w:tcMar>
          </w:tcPr>
          <w:p>
            <w:pPr>
              <w:jc w:val="center"/>
            </w:pPr>
            <w:r>
              <w:rPr>
                <w:rFonts w:ascii="Times New Roman" w:hAnsi="Times New Roman"/>
                <w:sz w:val="16"/>
              </w:rPr>
              <w:t>0.6551</w:t>
            </w:r>
          </w:p>
        </w:tc>
        <w:tc>
          <w:tcPr>
            <w:tcW w:type="dxa" w:w="821"/>
            <w:tcMar>
              <w:top w:w="60" w:type="dxa"/>
              <w:bottom w:w="60" w:type="dxa"/>
              <w:left w:w="100" w:type="dxa"/>
              <w:right w:w="100" w:type="dxa"/>
            </w:tcMar>
          </w:tcPr>
          <w:p>
            <w:pPr>
              <w:jc w:val="center"/>
            </w:pPr>
            <w:r>
              <w:rPr>
                <w:rFonts w:ascii="Times New Roman" w:hAnsi="Times New Roman"/>
                <w:sz w:val="16"/>
              </w:rPr>
              <w:t>0.7286</w:t>
            </w:r>
          </w:p>
        </w:tc>
      </w:tr>
      <w:tr>
        <w:tc>
          <w:tcPr>
            <w:tcW w:type="dxa" w:w="821"/>
            <w:tcMar>
              <w:top w:w="60" w:type="dxa"/>
              <w:bottom w:w="60" w:type="dxa"/>
              <w:left w:w="100" w:type="dxa"/>
              <w:right w:w="100" w:type="dxa"/>
            </w:tcMar>
          </w:tcPr>
          <w:p>
            <w:pPr>
              <w:jc w:val="left"/>
            </w:pPr>
            <w:r>
              <w:rPr>
                <w:rFonts w:ascii="Times New Roman" w:hAnsi="Times New Roman"/>
                <w:sz w:val="16"/>
              </w:rPr>
              <w:t>XGBoost</w:t>
            </w:r>
          </w:p>
        </w:tc>
        <w:tc>
          <w:tcPr>
            <w:tcW w:type="dxa" w:w="821"/>
            <w:tcMar>
              <w:top w:w="60" w:type="dxa"/>
              <w:bottom w:w="60" w:type="dxa"/>
              <w:left w:w="100" w:type="dxa"/>
              <w:right w:w="100" w:type="dxa"/>
            </w:tcMar>
          </w:tcPr>
          <w:p>
            <w:pPr>
              <w:jc w:val="left"/>
            </w:pPr>
            <w:r>
              <w:rPr>
                <w:rFonts w:ascii="Times New Roman" w:hAnsi="Times New Roman"/>
                <w:sz w:val="16"/>
              </w:rPr>
              <w:t>0.8688</w:t>
            </w:r>
          </w:p>
        </w:tc>
        <w:tc>
          <w:tcPr>
            <w:tcW w:type="dxa" w:w="821"/>
            <w:tcMar>
              <w:top w:w="60" w:type="dxa"/>
              <w:bottom w:w="60" w:type="dxa"/>
              <w:left w:w="100" w:type="dxa"/>
              <w:right w:w="100" w:type="dxa"/>
            </w:tcMar>
          </w:tcPr>
          <w:p>
            <w:pPr>
              <w:jc w:val="center"/>
            </w:pPr>
            <w:r>
              <w:rPr>
                <w:rFonts w:ascii="Times New Roman" w:hAnsi="Times New Roman"/>
                <w:sz w:val="16"/>
              </w:rPr>
              <w:t>0.9469</w:t>
            </w:r>
          </w:p>
        </w:tc>
        <w:tc>
          <w:tcPr>
            <w:tcW w:type="dxa" w:w="821"/>
            <w:tcMar>
              <w:top w:w="60" w:type="dxa"/>
              <w:bottom w:w="60" w:type="dxa"/>
              <w:left w:w="100" w:type="dxa"/>
              <w:right w:w="100" w:type="dxa"/>
            </w:tcMar>
          </w:tcPr>
          <w:p>
            <w:pPr>
              <w:jc w:val="center"/>
            </w:pPr>
            <w:r>
              <w:rPr>
                <w:rFonts w:ascii="Times New Roman" w:hAnsi="Times New Roman"/>
                <w:sz w:val="16"/>
              </w:rPr>
              <w:t>0.5922</w:t>
            </w:r>
          </w:p>
        </w:tc>
        <w:tc>
          <w:tcPr>
            <w:tcW w:type="dxa" w:w="821"/>
            <w:tcMar>
              <w:top w:w="60" w:type="dxa"/>
              <w:bottom w:w="60" w:type="dxa"/>
              <w:left w:w="100" w:type="dxa"/>
              <w:right w:w="100" w:type="dxa"/>
            </w:tcMar>
          </w:tcPr>
          <w:p>
            <w:pPr>
              <w:jc w:val="center"/>
            </w:pPr>
            <w:r>
              <w:rPr>
                <w:rFonts w:ascii="Times New Roman" w:hAnsi="Times New Roman"/>
                <w:sz w:val="16"/>
              </w:rPr>
              <w:t>0.9098</w:t>
            </w:r>
          </w:p>
        </w:tc>
        <w:tc>
          <w:tcPr>
            <w:tcW w:type="dxa" w:w="821"/>
            <w:tcMar>
              <w:top w:w="60" w:type="dxa"/>
              <w:bottom w:w="60" w:type="dxa"/>
              <w:left w:w="100" w:type="dxa"/>
              <w:right w:w="100" w:type="dxa"/>
            </w:tcMar>
          </w:tcPr>
          <w:p>
            <w:pPr>
              <w:jc w:val="center"/>
            </w:pPr>
            <w:r>
              <w:rPr>
                <w:rFonts w:ascii="Times New Roman" w:hAnsi="Times New Roman"/>
                <w:sz w:val="16"/>
              </w:rPr>
              <w:t>0.0011</w:t>
            </w:r>
          </w:p>
        </w:tc>
        <w:tc>
          <w:tcPr>
            <w:tcW w:type="dxa" w:w="821"/>
            <w:tcMar>
              <w:top w:w="60" w:type="dxa"/>
              <w:bottom w:w="60" w:type="dxa"/>
              <w:left w:w="100" w:type="dxa"/>
              <w:right w:w="100" w:type="dxa"/>
            </w:tcMar>
          </w:tcPr>
          <w:p>
            <w:pPr>
              <w:jc w:val="center"/>
            </w:pPr>
            <w:r>
              <w:rPr>
                <w:rFonts w:ascii="Times New Roman" w:hAnsi="Times New Roman"/>
                <w:sz w:val="16"/>
              </w:rPr>
              <w:t>901,345.7</w:t>
            </w:r>
          </w:p>
        </w:tc>
        <w:tc>
          <w:tcPr>
            <w:tcW w:type="dxa" w:w="821"/>
            <w:tcMar>
              <w:top w:w="60" w:type="dxa"/>
              <w:bottom w:w="60" w:type="dxa"/>
              <w:left w:w="100" w:type="dxa"/>
              <w:right w:w="100" w:type="dxa"/>
            </w:tcMar>
          </w:tcPr>
          <w:p>
            <w:pPr>
              <w:jc w:val="center"/>
            </w:pPr>
            <w:r>
              <w:rPr>
                <w:rFonts w:ascii="Times New Roman" w:hAnsi="Times New Roman"/>
                <w:sz w:val="16"/>
              </w:rPr>
              <w:t>2,187.59</w:t>
            </w:r>
          </w:p>
        </w:tc>
        <w:tc>
          <w:tcPr>
            <w:tcW w:type="dxa" w:w="821"/>
            <w:tcMar>
              <w:top w:w="60" w:type="dxa"/>
              <w:bottom w:w="60" w:type="dxa"/>
              <w:left w:w="100" w:type="dxa"/>
              <w:right w:w="100" w:type="dxa"/>
            </w:tcMar>
          </w:tcPr>
          <w:p>
            <w:pPr>
              <w:jc w:val="center"/>
            </w:pPr>
            <w:r>
              <w:rPr>
                <w:rFonts w:ascii="Times New Roman" w:hAnsi="Times New Roman"/>
                <w:sz w:val="16"/>
              </w:rPr>
              <w:t>0.6983</w:t>
            </w:r>
          </w:p>
        </w:tc>
        <w:tc>
          <w:tcPr>
            <w:tcW w:type="dxa" w:w="821"/>
            <w:tcMar>
              <w:top w:w="60" w:type="dxa"/>
              <w:bottom w:w="60" w:type="dxa"/>
              <w:left w:w="100" w:type="dxa"/>
              <w:right w:w="100" w:type="dxa"/>
            </w:tcMar>
          </w:tcPr>
          <w:p>
            <w:pPr>
              <w:jc w:val="center"/>
            </w:pPr>
            <w:r>
              <w:rPr>
                <w:rFonts w:ascii="Times New Roman" w:hAnsi="Times New Roman"/>
                <w:sz w:val="16"/>
              </w:rPr>
              <w:t>0.6508</w:t>
            </w:r>
          </w:p>
        </w:tc>
        <w:tc>
          <w:tcPr>
            <w:tcW w:type="dxa" w:w="821"/>
            <w:tcMar>
              <w:top w:w="60" w:type="dxa"/>
              <w:bottom w:w="60" w:type="dxa"/>
              <w:left w:w="100" w:type="dxa"/>
              <w:right w:w="100" w:type="dxa"/>
            </w:tcMar>
          </w:tcPr>
          <w:p>
            <w:pPr>
              <w:jc w:val="center"/>
            </w:pPr>
            <w:r>
              <w:rPr>
                <w:rFonts w:ascii="Times New Roman" w:hAnsi="Times New Roman"/>
                <w:sz w:val="16"/>
              </w:rPr>
              <w:t>0.7258</w:t>
            </w:r>
          </w:p>
        </w:tc>
      </w:tr>
      <w:tr>
        <w:tc>
          <w:tcPr>
            <w:tcW w:type="dxa" w:w="821"/>
            <w:tcMar>
              <w:top w:w="60" w:type="dxa"/>
              <w:bottom w:w="60" w:type="dxa"/>
              <w:left w:w="100" w:type="dxa"/>
              <w:right w:w="100" w:type="dxa"/>
            </w:tcMar>
          </w:tcPr>
          <w:p>
            <w:pPr>
              <w:jc w:val="left"/>
            </w:pPr>
            <w:r>
              <w:rPr>
                <w:rFonts w:ascii="Times New Roman" w:hAnsi="Times New Roman"/>
                <w:sz w:val="16"/>
              </w:rPr>
              <w:t>TabPFN v3</w:t>
            </w:r>
          </w:p>
        </w:tc>
        <w:tc>
          <w:tcPr>
            <w:tcW w:type="dxa" w:w="821"/>
            <w:tcMar>
              <w:top w:w="60" w:type="dxa"/>
              <w:bottom w:w="60" w:type="dxa"/>
              <w:left w:w="100" w:type="dxa"/>
              <w:right w:w="100" w:type="dxa"/>
            </w:tcMar>
          </w:tcPr>
          <w:p>
            <w:pPr>
              <w:jc w:val="left"/>
            </w:pPr>
            <w:r>
              <w:rPr>
                <w:rFonts w:ascii="Times New Roman" w:hAnsi="Times New Roman"/>
                <w:sz w:val="16"/>
              </w:rPr>
              <w:t>0.8637</w:t>
            </w:r>
          </w:p>
        </w:tc>
        <w:tc>
          <w:tcPr>
            <w:tcW w:type="dxa" w:w="821"/>
            <w:tcMar>
              <w:top w:w="60" w:type="dxa"/>
              <w:bottom w:w="60" w:type="dxa"/>
              <w:left w:w="100" w:type="dxa"/>
              <w:right w:w="100" w:type="dxa"/>
            </w:tcMar>
          </w:tcPr>
          <w:p>
            <w:pPr>
              <w:jc w:val="center"/>
            </w:pPr>
            <w:r>
              <w:rPr>
                <w:rFonts w:ascii="Times New Roman" w:hAnsi="Times New Roman"/>
                <w:sz w:val="16"/>
              </w:rPr>
              <w:t>0.9372</w:t>
            </w:r>
          </w:p>
        </w:tc>
        <w:tc>
          <w:tcPr>
            <w:tcW w:type="dxa" w:w="821"/>
            <w:tcMar>
              <w:top w:w="60" w:type="dxa"/>
              <w:bottom w:w="60" w:type="dxa"/>
              <w:left w:w="100" w:type="dxa"/>
              <w:right w:w="100" w:type="dxa"/>
            </w:tcMar>
          </w:tcPr>
          <w:p>
            <w:pPr>
              <w:jc w:val="center"/>
            </w:pPr>
            <w:r>
              <w:rPr>
                <w:rFonts w:ascii="Times New Roman" w:hAnsi="Times New Roman"/>
                <w:sz w:val="16"/>
              </w:rPr>
              <w:t>0.6173</w:t>
            </w:r>
          </w:p>
        </w:tc>
        <w:tc>
          <w:tcPr>
            <w:tcW w:type="dxa" w:w="821"/>
            <w:tcMar>
              <w:top w:w="60" w:type="dxa"/>
              <w:bottom w:w="60" w:type="dxa"/>
              <w:left w:w="100" w:type="dxa"/>
              <w:right w:w="100" w:type="dxa"/>
            </w:tcMar>
          </w:tcPr>
          <w:p>
            <w:pPr>
              <w:jc w:val="center"/>
            </w:pPr>
            <w:r>
              <w:rPr>
                <w:rFonts w:ascii="Times New Roman" w:hAnsi="Times New Roman"/>
                <w:sz w:val="16"/>
              </w:rPr>
              <w:t>0.9045</w:t>
            </w:r>
          </w:p>
        </w:tc>
        <w:tc>
          <w:tcPr>
            <w:tcW w:type="dxa" w:w="821"/>
            <w:tcMar>
              <w:top w:w="60" w:type="dxa"/>
              <w:bottom w:w="60" w:type="dxa"/>
              <w:left w:w="100" w:type="dxa"/>
              <w:right w:w="100" w:type="dxa"/>
            </w:tcMar>
          </w:tcPr>
          <w:p>
            <w:pPr>
              <w:jc w:val="center"/>
            </w:pPr>
            <w:r>
              <w:rPr>
                <w:rFonts w:ascii="Times New Roman" w:hAnsi="Times New Roman"/>
                <w:sz w:val="16"/>
              </w:rPr>
              <w:t>3.1109</w:t>
            </w:r>
          </w:p>
        </w:tc>
        <w:tc>
          <w:tcPr>
            <w:tcW w:type="dxa" w:w="821"/>
            <w:tcMar>
              <w:top w:w="60" w:type="dxa"/>
              <w:bottom w:w="60" w:type="dxa"/>
              <w:left w:w="100" w:type="dxa"/>
              <w:right w:w="100" w:type="dxa"/>
            </w:tcMar>
          </w:tcPr>
          <w:p>
            <w:pPr>
              <w:jc w:val="center"/>
            </w:pPr>
            <w:r>
              <w:rPr>
                <w:rFonts w:ascii="Times New Roman" w:hAnsi="Times New Roman"/>
                <w:sz w:val="16"/>
              </w:rPr>
              <w:t>338.5</w:t>
            </w:r>
          </w:p>
        </w:tc>
        <w:tc>
          <w:tcPr>
            <w:tcW w:type="dxa" w:w="821"/>
            <w:tcMar>
              <w:top w:w="60" w:type="dxa"/>
              <w:bottom w:w="60" w:type="dxa"/>
              <w:left w:w="100" w:type="dxa"/>
              <w:right w:w="100" w:type="dxa"/>
            </w:tcMar>
          </w:tcPr>
          <w:p>
            <w:pPr>
              <w:jc w:val="center"/>
            </w:pPr>
            <w:r>
              <w:rPr>
                <w:rFonts w:ascii="Times New Roman" w:hAnsi="Times New Roman"/>
                <w:sz w:val="16"/>
              </w:rPr>
              <w:t>2,509.56</w:t>
            </w:r>
          </w:p>
        </w:tc>
        <w:tc>
          <w:tcPr>
            <w:tcW w:type="dxa" w:w="821"/>
            <w:tcMar>
              <w:top w:w="60" w:type="dxa"/>
              <w:bottom w:w="60" w:type="dxa"/>
              <w:left w:w="100" w:type="dxa"/>
              <w:right w:w="100" w:type="dxa"/>
            </w:tcMar>
          </w:tcPr>
          <w:p>
            <w:pPr>
              <w:jc w:val="center"/>
            </w:pPr>
            <w:r>
              <w:rPr>
                <w:rFonts w:ascii="Times New Roman" w:hAnsi="Times New Roman"/>
                <w:sz w:val="16"/>
              </w:rPr>
              <w:t>0.2555</w:t>
            </w:r>
          </w:p>
        </w:tc>
        <w:tc>
          <w:tcPr>
            <w:tcW w:type="dxa" w:w="821"/>
            <w:tcMar>
              <w:top w:w="60" w:type="dxa"/>
              <w:bottom w:w="60" w:type="dxa"/>
              <w:left w:w="100" w:type="dxa"/>
              <w:right w:w="100" w:type="dxa"/>
            </w:tcMar>
          </w:tcPr>
          <w:p>
            <w:pPr>
              <w:jc w:val="center"/>
            </w:pPr>
            <w:r>
              <w:rPr>
                <w:rFonts w:ascii="Times New Roman" w:hAnsi="Times New Roman"/>
                <w:sz w:val="16"/>
              </w:rPr>
              <w:t>0.6122</w:t>
            </w:r>
          </w:p>
        </w:tc>
        <w:tc>
          <w:tcPr>
            <w:tcW w:type="dxa" w:w="821"/>
            <w:tcMar>
              <w:top w:w="60" w:type="dxa"/>
              <w:bottom w:w="60" w:type="dxa"/>
              <w:left w:w="100" w:type="dxa"/>
              <w:right w:w="100" w:type="dxa"/>
            </w:tcMar>
          </w:tcPr>
          <w:p>
            <w:pPr>
              <w:jc w:val="center"/>
            </w:pPr>
            <w:r>
              <w:rPr>
                <w:rFonts w:ascii="Times New Roman" w:hAnsi="Times New Roman"/>
                <w:sz w:val="16"/>
              </w:rPr>
              <w:t>0.5345</w:t>
            </w:r>
          </w:p>
        </w:tc>
      </w:tr>
      <w:tr>
        <w:tc>
          <w:tcPr>
            <w:tcW w:type="dxa" w:w="821"/>
            <w:tcMar>
              <w:top w:w="60" w:type="dxa"/>
              <w:bottom w:w="60" w:type="dxa"/>
              <w:left w:w="100" w:type="dxa"/>
              <w:right w:w="100" w:type="dxa"/>
            </w:tcMar>
          </w:tcPr>
          <w:p>
            <w:pPr>
              <w:jc w:val="left"/>
            </w:pPr>
            <w:r>
              <w:rPr>
                <w:rFonts w:ascii="Times New Roman" w:hAnsi="Times New Roman"/>
                <w:sz w:val="16"/>
              </w:rPr>
              <w:t>FT-Transformer</w:t>
            </w:r>
          </w:p>
        </w:tc>
        <w:tc>
          <w:tcPr>
            <w:tcW w:type="dxa" w:w="821"/>
            <w:tcMar>
              <w:top w:w="60" w:type="dxa"/>
              <w:bottom w:w="60" w:type="dxa"/>
              <w:left w:w="100" w:type="dxa"/>
              <w:right w:w="100" w:type="dxa"/>
            </w:tcMar>
          </w:tcPr>
          <w:p>
            <w:pPr>
              <w:jc w:val="left"/>
            </w:pPr>
            <w:r>
              <w:rPr>
                <w:rFonts w:ascii="Times New Roman" w:hAnsi="Times New Roman"/>
                <w:sz w:val="16"/>
              </w:rPr>
              <w:t>0.8371</w:t>
            </w:r>
          </w:p>
        </w:tc>
        <w:tc>
          <w:tcPr>
            <w:tcW w:type="dxa" w:w="821"/>
            <w:tcMar>
              <w:top w:w="60" w:type="dxa"/>
              <w:bottom w:w="60" w:type="dxa"/>
              <w:left w:w="100" w:type="dxa"/>
              <w:right w:w="100" w:type="dxa"/>
            </w:tcMar>
          </w:tcPr>
          <w:p>
            <w:pPr>
              <w:jc w:val="center"/>
            </w:pPr>
            <w:r>
              <w:rPr>
                <w:rFonts w:ascii="Times New Roman" w:hAnsi="Times New Roman"/>
                <w:sz w:val="16"/>
              </w:rPr>
              <w:t>0.9119</w:t>
            </w:r>
          </w:p>
        </w:tc>
        <w:tc>
          <w:tcPr>
            <w:tcW w:type="dxa" w:w="821"/>
            <w:tcMar>
              <w:top w:w="60" w:type="dxa"/>
              <w:bottom w:w="60" w:type="dxa"/>
              <w:left w:w="100" w:type="dxa"/>
              <w:right w:w="100" w:type="dxa"/>
            </w:tcMar>
          </w:tcPr>
          <w:p>
            <w:pPr>
              <w:jc w:val="center"/>
            </w:pPr>
            <w:r>
              <w:rPr>
                <w:rFonts w:ascii="Times New Roman" w:hAnsi="Times New Roman"/>
                <w:sz w:val="16"/>
              </w:rPr>
              <w:t>0.5921</w:t>
            </w:r>
          </w:p>
        </w:tc>
        <w:tc>
          <w:tcPr>
            <w:tcW w:type="dxa" w:w="821"/>
            <w:tcMar>
              <w:top w:w="60" w:type="dxa"/>
              <w:bottom w:w="60" w:type="dxa"/>
              <w:left w:w="100" w:type="dxa"/>
              <w:right w:w="100" w:type="dxa"/>
            </w:tcMar>
          </w:tcPr>
          <w:p>
            <w:pPr>
              <w:jc w:val="center"/>
            </w:pPr>
            <w:r>
              <w:rPr>
                <w:rFonts w:ascii="Times New Roman" w:hAnsi="Times New Roman"/>
                <w:sz w:val="16"/>
              </w:rPr>
              <w:t>0.9001</w:t>
            </w:r>
          </w:p>
        </w:tc>
        <w:tc>
          <w:tcPr>
            <w:tcW w:type="dxa" w:w="821"/>
            <w:tcMar>
              <w:top w:w="60" w:type="dxa"/>
              <w:bottom w:w="60" w:type="dxa"/>
              <w:left w:w="100" w:type="dxa"/>
              <w:right w:w="100" w:type="dxa"/>
            </w:tcMar>
          </w:tcPr>
          <w:p>
            <w:pPr>
              <w:jc w:val="center"/>
            </w:pPr>
            <w:r>
              <w:rPr>
                <w:rFonts w:ascii="Times New Roman" w:hAnsi="Times New Roman"/>
                <w:sz w:val="16"/>
              </w:rPr>
              <w:t>0.0110</w:t>
            </w:r>
          </w:p>
        </w:tc>
        <w:tc>
          <w:tcPr>
            <w:tcW w:type="dxa" w:w="821"/>
            <w:tcMar>
              <w:top w:w="60" w:type="dxa"/>
              <w:bottom w:w="60" w:type="dxa"/>
              <w:left w:w="100" w:type="dxa"/>
              <w:right w:w="100" w:type="dxa"/>
            </w:tcMar>
          </w:tcPr>
          <w:p>
            <w:pPr>
              <w:jc w:val="center"/>
            </w:pPr>
            <w:r>
              <w:rPr>
                <w:rFonts w:ascii="Times New Roman" w:hAnsi="Times New Roman"/>
                <w:sz w:val="16"/>
              </w:rPr>
              <w:t>127,526.7</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0.6900</w:t>
            </w:r>
          </w:p>
        </w:tc>
        <w:tc>
          <w:tcPr>
            <w:tcW w:type="dxa" w:w="821"/>
            <w:tcMar>
              <w:top w:w="60" w:type="dxa"/>
              <w:bottom w:w="60" w:type="dxa"/>
              <w:left w:w="100" w:type="dxa"/>
              <w:right w:w="100" w:type="dxa"/>
            </w:tcMar>
          </w:tcPr>
          <w:p>
            <w:pPr>
              <w:jc w:val="center"/>
            </w:pPr>
            <w:r>
              <w:rPr>
                <w:rFonts w:ascii="Times New Roman" w:hAnsi="Times New Roman"/>
                <w:sz w:val="16"/>
              </w:rPr>
              <w:t>0.6395</w:t>
            </w:r>
          </w:p>
        </w:tc>
        <w:tc>
          <w:tcPr>
            <w:tcW w:type="dxa" w:w="821"/>
            <w:tcMar>
              <w:top w:w="60" w:type="dxa"/>
              <w:bottom w:w="60" w:type="dxa"/>
              <w:left w:w="100" w:type="dxa"/>
              <w:right w:w="100" w:type="dxa"/>
            </w:tcMar>
          </w:tcPr>
          <w:p>
            <w:pPr>
              <w:jc w:val="center"/>
            </w:pPr>
            <w:r>
              <w:rPr>
                <w:rFonts w:ascii="Times New Roman" w:hAnsi="Times New Roman"/>
                <w:sz w:val="16"/>
              </w:rPr>
              <w:t>0.7129</w:t>
            </w:r>
          </w:p>
        </w:tc>
      </w:tr>
      <w:tr>
        <w:tc>
          <w:tcPr>
            <w:tcW w:type="dxa" w:w="821"/>
            <w:tcMar>
              <w:top w:w="60" w:type="dxa"/>
              <w:bottom w:w="60" w:type="dxa"/>
              <w:left w:w="100" w:type="dxa"/>
              <w:right w:w="100" w:type="dxa"/>
            </w:tcMar>
          </w:tcPr>
          <w:p>
            <w:pPr>
              <w:jc w:val="left"/>
            </w:pPr>
            <w:r>
              <w:rPr>
                <w:rFonts w:ascii="Times New Roman" w:hAnsi="Times New Roman"/>
                <w:sz w:val="16"/>
              </w:rPr>
              <w:t>Mambular SSM</w:t>
            </w:r>
          </w:p>
        </w:tc>
        <w:tc>
          <w:tcPr>
            <w:tcW w:type="dxa" w:w="821"/>
            <w:tcMar>
              <w:top w:w="60" w:type="dxa"/>
              <w:bottom w:w="60" w:type="dxa"/>
              <w:left w:w="100" w:type="dxa"/>
              <w:right w:w="100" w:type="dxa"/>
            </w:tcMar>
          </w:tcPr>
          <w:p>
            <w:pPr>
              <w:jc w:val="left"/>
            </w:pPr>
            <w:r>
              <w:rPr>
                <w:rFonts w:ascii="Times New Roman" w:hAnsi="Times New Roman"/>
                <w:sz w:val="16"/>
              </w:rPr>
              <w:t>0.8344</w:t>
            </w:r>
          </w:p>
        </w:tc>
        <w:tc>
          <w:tcPr>
            <w:tcW w:type="dxa" w:w="821"/>
            <w:tcMar>
              <w:top w:w="60" w:type="dxa"/>
              <w:bottom w:w="60" w:type="dxa"/>
              <w:left w:w="100" w:type="dxa"/>
              <w:right w:w="100" w:type="dxa"/>
            </w:tcMar>
          </w:tcPr>
          <w:p>
            <w:pPr>
              <w:jc w:val="center"/>
            </w:pPr>
            <w:r>
              <w:rPr>
                <w:rFonts w:ascii="Times New Roman" w:hAnsi="Times New Roman"/>
                <w:sz w:val="16"/>
              </w:rPr>
              <w:t>0.9081</w:t>
            </w:r>
          </w:p>
        </w:tc>
        <w:tc>
          <w:tcPr>
            <w:tcW w:type="dxa" w:w="821"/>
            <w:tcMar>
              <w:top w:w="60" w:type="dxa"/>
              <w:bottom w:w="60" w:type="dxa"/>
              <w:left w:w="100" w:type="dxa"/>
              <w:right w:w="100" w:type="dxa"/>
            </w:tcMar>
          </w:tcPr>
          <w:p>
            <w:pPr>
              <w:jc w:val="center"/>
            </w:pPr>
            <w:r>
              <w:rPr>
                <w:rFonts w:ascii="Times New Roman" w:hAnsi="Times New Roman"/>
                <w:sz w:val="16"/>
              </w:rPr>
              <w:t>0.5507</w:t>
            </w:r>
          </w:p>
        </w:tc>
        <w:tc>
          <w:tcPr>
            <w:tcW w:type="dxa" w:w="821"/>
            <w:tcMar>
              <w:top w:w="60" w:type="dxa"/>
              <w:bottom w:w="60" w:type="dxa"/>
              <w:left w:w="100" w:type="dxa"/>
              <w:right w:w="100" w:type="dxa"/>
            </w:tcMar>
          </w:tcPr>
          <w:p>
            <w:pPr>
              <w:jc w:val="center"/>
            </w:pPr>
            <w:r>
              <w:rPr>
                <w:rFonts w:ascii="Times New Roman" w:hAnsi="Times New Roman"/>
                <w:sz w:val="16"/>
              </w:rPr>
              <w:t>0.8964</w:t>
            </w:r>
          </w:p>
        </w:tc>
        <w:tc>
          <w:tcPr>
            <w:tcW w:type="dxa" w:w="821"/>
            <w:tcMar>
              <w:top w:w="60" w:type="dxa"/>
              <w:bottom w:w="60" w:type="dxa"/>
              <w:left w:w="100" w:type="dxa"/>
              <w:right w:w="100" w:type="dxa"/>
            </w:tcMar>
          </w:tcPr>
          <w:p>
            <w:pPr>
              <w:jc w:val="center"/>
            </w:pPr>
            <w:r>
              <w:rPr>
                <w:rFonts w:ascii="Times New Roman" w:hAnsi="Times New Roman"/>
                <w:sz w:val="16"/>
              </w:rPr>
              <w:t>0.0011</w:t>
            </w:r>
          </w:p>
        </w:tc>
        <w:tc>
          <w:tcPr>
            <w:tcW w:type="dxa" w:w="821"/>
            <w:tcMar>
              <w:top w:w="60" w:type="dxa"/>
              <w:bottom w:w="60" w:type="dxa"/>
              <w:left w:w="100" w:type="dxa"/>
              <w:right w:w="100" w:type="dxa"/>
            </w:tcMar>
          </w:tcPr>
          <w:p>
            <w:pPr>
              <w:jc w:val="center"/>
            </w:pPr>
            <w:r>
              <w:rPr>
                <w:rFonts w:ascii="Times New Roman" w:hAnsi="Times New Roman"/>
                <w:sz w:val="16"/>
              </w:rPr>
              <w:t>929,630.1</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0.6872</w:t>
            </w:r>
          </w:p>
        </w:tc>
        <w:tc>
          <w:tcPr>
            <w:tcW w:type="dxa" w:w="821"/>
            <w:tcMar>
              <w:top w:w="60" w:type="dxa"/>
              <w:bottom w:w="60" w:type="dxa"/>
              <w:left w:w="100" w:type="dxa"/>
              <w:right w:w="100" w:type="dxa"/>
            </w:tcMar>
          </w:tcPr>
          <w:p>
            <w:pPr>
              <w:jc w:val="center"/>
            </w:pPr>
            <w:r>
              <w:rPr>
                <w:rFonts w:ascii="Times New Roman" w:hAnsi="Times New Roman"/>
                <w:sz w:val="16"/>
              </w:rPr>
              <w:t>0.6179</w:t>
            </w:r>
          </w:p>
        </w:tc>
        <w:tc>
          <w:tcPr>
            <w:tcW w:type="dxa" w:w="821"/>
            <w:tcMar>
              <w:top w:w="60" w:type="dxa"/>
              <w:bottom w:w="60" w:type="dxa"/>
              <w:left w:w="100" w:type="dxa"/>
              <w:right w:w="100" w:type="dxa"/>
            </w:tcMar>
          </w:tcPr>
          <w:p>
            <w:pPr>
              <w:jc w:val="center"/>
            </w:pPr>
            <w:r>
              <w:rPr>
                <w:rFonts w:ascii="Times New Roman" w:hAnsi="Times New Roman"/>
                <w:sz w:val="16"/>
              </w:rPr>
              <w:t>0.6994</w:t>
            </w:r>
          </w:p>
        </w:tc>
      </w:tr>
      <w:tr>
        <w:tc>
          <w:tcPr>
            <w:tcW w:type="dxa" w:w="821"/>
            <w:tcMar>
              <w:top w:w="60" w:type="dxa"/>
              <w:bottom w:w="60" w:type="dxa"/>
              <w:left w:w="100" w:type="dxa"/>
              <w:right w:w="100" w:type="dxa"/>
            </w:tcMar>
          </w:tcPr>
          <w:p>
            <w:pPr>
              <w:jc w:val="left"/>
            </w:pPr>
            <w:r>
              <w:rPr>
                <w:rFonts w:ascii="Times New Roman" w:hAnsi="Times New Roman"/>
                <w:sz w:val="16"/>
              </w:rPr>
              <w:t>SAINT</w:t>
            </w:r>
          </w:p>
        </w:tc>
        <w:tc>
          <w:tcPr>
            <w:tcW w:type="dxa" w:w="821"/>
            <w:tcMar>
              <w:top w:w="60" w:type="dxa"/>
              <w:bottom w:w="60" w:type="dxa"/>
              <w:left w:w="100" w:type="dxa"/>
              <w:right w:w="100" w:type="dxa"/>
            </w:tcMar>
          </w:tcPr>
          <w:p>
            <w:pPr>
              <w:jc w:val="left"/>
            </w:pPr>
            <w:r>
              <w:rPr>
                <w:rFonts w:ascii="Times New Roman" w:hAnsi="Times New Roman"/>
                <w:sz w:val="16"/>
              </w:rPr>
              <w:t>0.8339</w:t>
            </w:r>
          </w:p>
        </w:tc>
        <w:tc>
          <w:tcPr>
            <w:tcW w:type="dxa" w:w="821"/>
            <w:tcMar>
              <w:top w:w="60" w:type="dxa"/>
              <w:bottom w:w="60" w:type="dxa"/>
              <w:left w:w="100" w:type="dxa"/>
              <w:right w:w="100" w:type="dxa"/>
            </w:tcMar>
          </w:tcPr>
          <w:p>
            <w:pPr>
              <w:jc w:val="center"/>
            </w:pPr>
            <w:r>
              <w:rPr>
                <w:rFonts w:ascii="Times New Roman" w:hAnsi="Times New Roman"/>
                <w:sz w:val="16"/>
              </w:rPr>
              <w:t>0.9094</w:t>
            </w:r>
          </w:p>
        </w:tc>
        <w:tc>
          <w:tcPr>
            <w:tcW w:type="dxa" w:w="821"/>
            <w:tcMar>
              <w:top w:w="60" w:type="dxa"/>
              <w:bottom w:w="60" w:type="dxa"/>
              <w:left w:w="100" w:type="dxa"/>
              <w:right w:w="100" w:type="dxa"/>
            </w:tcMar>
          </w:tcPr>
          <w:p>
            <w:pPr>
              <w:jc w:val="center"/>
            </w:pPr>
            <w:r>
              <w:rPr>
                <w:rFonts w:ascii="Times New Roman" w:hAnsi="Times New Roman"/>
                <w:sz w:val="16"/>
              </w:rPr>
              <w:t>0.5479</w:t>
            </w:r>
          </w:p>
        </w:tc>
        <w:tc>
          <w:tcPr>
            <w:tcW w:type="dxa" w:w="821"/>
            <w:tcMar>
              <w:top w:w="60" w:type="dxa"/>
              <w:bottom w:w="60" w:type="dxa"/>
              <w:left w:w="100" w:type="dxa"/>
              <w:right w:w="100" w:type="dxa"/>
            </w:tcMar>
          </w:tcPr>
          <w:p>
            <w:pPr>
              <w:jc w:val="center"/>
            </w:pPr>
            <w:r>
              <w:rPr>
                <w:rFonts w:ascii="Times New Roman" w:hAnsi="Times New Roman"/>
                <w:sz w:val="16"/>
              </w:rPr>
              <w:t>0.9049</w:t>
            </w:r>
          </w:p>
        </w:tc>
        <w:tc>
          <w:tcPr>
            <w:tcW w:type="dxa" w:w="821"/>
            <w:tcMar>
              <w:top w:w="60" w:type="dxa"/>
              <w:bottom w:w="60" w:type="dxa"/>
              <w:left w:w="100" w:type="dxa"/>
              <w:right w:w="100" w:type="dxa"/>
            </w:tcMar>
          </w:tcPr>
          <w:p>
            <w:pPr>
              <w:jc w:val="center"/>
            </w:pPr>
            <w:r>
              <w:rPr>
                <w:rFonts w:ascii="Times New Roman" w:hAnsi="Times New Roman"/>
                <w:sz w:val="16"/>
              </w:rPr>
              <w:t>0.0010</w:t>
            </w:r>
          </w:p>
        </w:tc>
        <w:tc>
          <w:tcPr>
            <w:tcW w:type="dxa" w:w="821"/>
            <w:tcMar>
              <w:top w:w="60" w:type="dxa"/>
              <w:bottom w:w="60" w:type="dxa"/>
              <w:left w:w="100" w:type="dxa"/>
              <w:right w:w="100" w:type="dxa"/>
            </w:tcMar>
          </w:tcPr>
          <w:p>
            <w:pPr>
              <w:jc w:val="center"/>
            </w:pPr>
            <w:r>
              <w:rPr>
                <w:rFonts w:ascii="Times New Roman" w:hAnsi="Times New Roman"/>
                <w:sz w:val="16"/>
              </w:rPr>
              <w:t>1,002,674.8</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0.6870</w:t>
            </w:r>
          </w:p>
        </w:tc>
        <w:tc>
          <w:tcPr>
            <w:tcW w:type="dxa" w:w="821"/>
            <w:tcMar>
              <w:top w:w="60" w:type="dxa"/>
              <w:bottom w:w="60" w:type="dxa"/>
              <w:left w:w="100" w:type="dxa"/>
              <w:right w:w="100" w:type="dxa"/>
            </w:tcMar>
          </w:tcPr>
          <w:p>
            <w:pPr>
              <w:jc w:val="center"/>
            </w:pPr>
            <w:r>
              <w:rPr>
                <w:rFonts w:ascii="Times New Roman" w:hAnsi="Times New Roman"/>
                <w:sz w:val="16"/>
              </w:rPr>
              <w:t>0.6163</w:t>
            </w:r>
          </w:p>
        </w:tc>
        <w:tc>
          <w:tcPr>
            <w:tcW w:type="dxa" w:w="821"/>
            <w:tcMar>
              <w:top w:w="60" w:type="dxa"/>
              <w:bottom w:w="60" w:type="dxa"/>
              <w:left w:w="100" w:type="dxa"/>
              <w:right w:w="100" w:type="dxa"/>
            </w:tcMar>
          </w:tcPr>
          <w:p>
            <w:pPr>
              <w:jc w:val="center"/>
            </w:pPr>
            <w:r>
              <w:rPr>
                <w:rFonts w:ascii="Times New Roman" w:hAnsi="Times New Roman"/>
                <w:sz w:val="16"/>
              </w:rPr>
              <w:t>0.6984</w:t>
            </w:r>
          </w:p>
        </w:tc>
      </w:tr>
      <w:tr>
        <w:tc>
          <w:tcPr>
            <w:tcW w:type="dxa" w:w="821"/>
            <w:tcMar>
              <w:top w:w="60" w:type="dxa"/>
              <w:bottom w:w="60" w:type="dxa"/>
              <w:left w:w="100" w:type="dxa"/>
              <w:right w:w="100" w:type="dxa"/>
            </w:tcMar>
          </w:tcPr>
          <w:p>
            <w:pPr>
              <w:jc w:val="left"/>
            </w:pPr>
            <w:r>
              <w:rPr>
                <w:rFonts w:ascii="Times New Roman" w:hAnsi="Times New Roman"/>
                <w:sz w:val="16"/>
              </w:rPr>
              <w:t>TabICL v2</w:t>
            </w:r>
          </w:p>
        </w:tc>
        <w:tc>
          <w:tcPr>
            <w:tcW w:type="dxa" w:w="821"/>
            <w:tcMar>
              <w:top w:w="60" w:type="dxa"/>
              <w:bottom w:w="60" w:type="dxa"/>
              <w:left w:w="100" w:type="dxa"/>
              <w:right w:w="100" w:type="dxa"/>
            </w:tcMar>
          </w:tcPr>
          <w:p>
            <w:pPr>
              <w:jc w:val="left"/>
            </w:pPr>
            <w:r>
              <w:rPr>
                <w:rFonts w:ascii="Times New Roman" w:hAnsi="Times New Roman"/>
                <w:sz w:val="16"/>
              </w:rPr>
              <w:t>0.8306</w:t>
            </w:r>
          </w:p>
        </w:tc>
        <w:tc>
          <w:tcPr>
            <w:tcW w:type="dxa" w:w="821"/>
            <w:tcMar>
              <w:top w:w="60" w:type="dxa"/>
              <w:bottom w:w="60" w:type="dxa"/>
              <w:left w:w="100" w:type="dxa"/>
              <w:right w:w="100" w:type="dxa"/>
            </w:tcMar>
          </w:tcPr>
          <w:p>
            <w:pPr>
              <w:jc w:val="center"/>
            </w:pPr>
            <w:r>
              <w:rPr>
                <w:rFonts w:ascii="Times New Roman" w:hAnsi="Times New Roman"/>
                <w:sz w:val="16"/>
              </w:rPr>
              <w:t>0.9038</w:t>
            </w:r>
          </w:p>
        </w:tc>
        <w:tc>
          <w:tcPr>
            <w:tcW w:type="dxa" w:w="821"/>
            <w:tcMar>
              <w:top w:w="60" w:type="dxa"/>
              <w:bottom w:w="60" w:type="dxa"/>
              <w:left w:w="100" w:type="dxa"/>
              <w:right w:w="100" w:type="dxa"/>
            </w:tcMar>
          </w:tcPr>
          <w:p>
            <w:pPr>
              <w:jc w:val="center"/>
            </w:pPr>
            <w:r>
              <w:rPr>
                <w:rFonts w:ascii="Times New Roman" w:hAnsi="Times New Roman"/>
                <w:sz w:val="16"/>
              </w:rPr>
              <w:t>0.5552</w:t>
            </w:r>
          </w:p>
        </w:tc>
        <w:tc>
          <w:tcPr>
            <w:tcW w:type="dxa" w:w="821"/>
            <w:tcMar>
              <w:top w:w="60" w:type="dxa"/>
              <w:bottom w:w="60" w:type="dxa"/>
              <w:left w:w="100" w:type="dxa"/>
              <w:right w:w="100" w:type="dxa"/>
            </w:tcMar>
          </w:tcPr>
          <w:p>
            <w:pPr>
              <w:jc w:val="center"/>
            </w:pPr>
            <w:r>
              <w:rPr>
                <w:rFonts w:ascii="Times New Roman" w:hAnsi="Times New Roman"/>
                <w:sz w:val="16"/>
              </w:rPr>
              <w:t>0.8955</w:t>
            </w:r>
          </w:p>
        </w:tc>
        <w:tc>
          <w:tcPr>
            <w:tcW w:type="dxa" w:w="821"/>
            <w:tcMar>
              <w:top w:w="60" w:type="dxa"/>
              <w:bottom w:w="60" w:type="dxa"/>
              <w:left w:w="100" w:type="dxa"/>
              <w:right w:w="100" w:type="dxa"/>
            </w:tcMar>
          </w:tcPr>
          <w:p>
            <w:pPr>
              <w:jc w:val="center"/>
            </w:pPr>
            <w:r>
              <w:rPr>
                <w:rFonts w:ascii="Times New Roman" w:hAnsi="Times New Roman"/>
                <w:sz w:val="16"/>
              </w:rPr>
              <w:t>0.0053</w:t>
            </w:r>
          </w:p>
        </w:tc>
        <w:tc>
          <w:tcPr>
            <w:tcW w:type="dxa" w:w="821"/>
            <w:tcMar>
              <w:top w:w="60" w:type="dxa"/>
              <w:bottom w:w="60" w:type="dxa"/>
              <w:left w:w="100" w:type="dxa"/>
              <w:right w:w="100" w:type="dxa"/>
            </w:tcMar>
          </w:tcPr>
          <w:p>
            <w:pPr>
              <w:jc w:val="center"/>
            </w:pPr>
            <w:r>
              <w:rPr>
                <w:rFonts w:ascii="Times New Roman" w:hAnsi="Times New Roman"/>
                <w:sz w:val="16"/>
              </w:rPr>
              <w:t>188,790.6</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0.6865</w:t>
            </w:r>
          </w:p>
        </w:tc>
        <w:tc>
          <w:tcPr>
            <w:tcW w:type="dxa" w:w="821"/>
            <w:tcMar>
              <w:top w:w="60" w:type="dxa"/>
              <w:bottom w:w="60" w:type="dxa"/>
              <w:left w:w="100" w:type="dxa"/>
              <w:right w:w="100" w:type="dxa"/>
            </w:tcMar>
          </w:tcPr>
          <w:p>
            <w:pPr>
              <w:jc w:val="center"/>
            </w:pPr>
            <w:r>
              <w:rPr>
                <w:rFonts w:ascii="Times New Roman" w:hAnsi="Times New Roman"/>
                <w:sz w:val="16"/>
              </w:rPr>
              <w:t>0.6188</w:t>
            </w:r>
          </w:p>
        </w:tc>
        <w:tc>
          <w:tcPr>
            <w:tcW w:type="dxa" w:w="821"/>
            <w:tcMar>
              <w:top w:w="60" w:type="dxa"/>
              <w:bottom w:w="60" w:type="dxa"/>
              <w:left w:w="100" w:type="dxa"/>
              <w:right w:w="100" w:type="dxa"/>
            </w:tcMar>
          </w:tcPr>
          <w:p>
            <w:pPr>
              <w:jc w:val="center"/>
            </w:pPr>
            <w:r>
              <w:rPr>
                <w:rFonts w:ascii="Times New Roman" w:hAnsi="Times New Roman"/>
                <w:sz w:val="16"/>
              </w:rPr>
              <w:t>0.6992</w:t>
            </w:r>
          </w:p>
        </w:tc>
      </w:tr>
      <w:tr>
        <w:tc>
          <w:tcPr>
            <w:tcW w:type="dxa" w:w="821"/>
            <w:tcMar>
              <w:top w:w="60" w:type="dxa"/>
              <w:bottom w:w="60" w:type="dxa"/>
              <w:left w:w="100" w:type="dxa"/>
              <w:right w:w="100" w:type="dxa"/>
            </w:tcMar>
          </w:tcPr>
          <w:p>
            <w:pPr>
              <w:jc w:val="left"/>
            </w:pPr>
            <w:r>
              <w:rPr>
                <w:rFonts w:ascii="Times New Roman" w:hAnsi="Times New Roman"/>
                <w:sz w:val="16"/>
              </w:rPr>
              <w:t>GraphIDS</w:t>
            </w:r>
          </w:p>
        </w:tc>
        <w:tc>
          <w:tcPr>
            <w:tcW w:type="dxa" w:w="821"/>
            <w:tcMar>
              <w:top w:w="60" w:type="dxa"/>
              <w:bottom w:w="60" w:type="dxa"/>
              <w:left w:w="100" w:type="dxa"/>
              <w:right w:w="100" w:type="dxa"/>
            </w:tcMar>
          </w:tcPr>
          <w:p>
            <w:pPr>
              <w:jc w:val="left"/>
            </w:pPr>
            <w:r>
              <w:rPr>
                <w:rFonts w:ascii="Times New Roman" w:hAnsi="Times New Roman"/>
                <w:sz w:val="16"/>
              </w:rPr>
              <w:t>0.8124</w:t>
            </w:r>
          </w:p>
        </w:tc>
        <w:tc>
          <w:tcPr>
            <w:tcW w:type="dxa" w:w="821"/>
            <w:tcMar>
              <w:top w:w="60" w:type="dxa"/>
              <w:bottom w:w="60" w:type="dxa"/>
              <w:left w:w="100" w:type="dxa"/>
              <w:right w:w="100" w:type="dxa"/>
            </w:tcMar>
          </w:tcPr>
          <w:p>
            <w:pPr>
              <w:jc w:val="center"/>
            </w:pPr>
            <w:r>
              <w:rPr>
                <w:rFonts w:ascii="Times New Roman" w:hAnsi="Times New Roman"/>
                <w:sz w:val="16"/>
              </w:rPr>
              <w:t>0.8866</w:t>
            </w:r>
          </w:p>
        </w:tc>
        <w:tc>
          <w:tcPr>
            <w:tcW w:type="dxa" w:w="821"/>
            <w:tcMar>
              <w:top w:w="60" w:type="dxa"/>
              <w:bottom w:w="60" w:type="dxa"/>
              <w:left w:w="100" w:type="dxa"/>
              <w:right w:w="100" w:type="dxa"/>
            </w:tcMar>
          </w:tcPr>
          <w:p>
            <w:pPr>
              <w:jc w:val="center"/>
            </w:pPr>
            <w:r>
              <w:rPr>
                <w:rFonts w:ascii="Times New Roman" w:hAnsi="Times New Roman"/>
                <w:sz w:val="16"/>
              </w:rPr>
              <w:t>0.5144</w:t>
            </w:r>
          </w:p>
        </w:tc>
        <w:tc>
          <w:tcPr>
            <w:tcW w:type="dxa" w:w="821"/>
            <w:tcMar>
              <w:top w:w="60" w:type="dxa"/>
              <w:bottom w:w="60" w:type="dxa"/>
              <w:left w:w="100" w:type="dxa"/>
              <w:right w:w="100" w:type="dxa"/>
            </w:tcMar>
          </w:tcPr>
          <w:p>
            <w:pPr>
              <w:jc w:val="center"/>
            </w:pPr>
            <w:r>
              <w:rPr>
                <w:rFonts w:ascii="Times New Roman" w:hAnsi="Times New Roman"/>
                <w:sz w:val="16"/>
              </w:rPr>
              <w:t>0.8893</w:t>
            </w:r>
          </w:p>
        </w:tc>
        <w:tc>
          <w:tcPr>
            <w:tcW w:type="dxa" w:w="821"/>
            <w:tcMar>
              <w:top w:w="60" w:type="dxa"/>
              <w:bottom w:w="60" w:type="dxa"/>
              <w:left w:w="100" w:type="dxa"/>
              <w:right w:w="100" w:type="dxa"/>
            </w:tcMar>
          </w:tcPr>
          <w:p>
            <w:pPr>
              <w:jc w:val="center"/>
            </w:pPr>
            <w:r>
              <w:rPr>
                <w:rFonts w:ascii="Times New Roman" w:hAnsi="Times New Roman"/>
                <w:sz w:val="16"/>
              </w:rPr>
              <w:t>0.0006</w:t>
            </w:r>
          </w:p>
        </w:tc>
        <w:tc>
          <w:tcPr>
            <w:tcW w:type="dxa" w:w="821"/>
            <w:tcMar>
              <w:top w:w="60" w:type="dxa"/>
              <w:bottom w:w="60" w:type="dxa"/>
              <w:left w:w="100" w:type="dxa"/>
              <w:right w:w="100" w:type="dxa"/>
            </w:tcMar>
          </w:tcPr>
          <w:p>
            <w:pPr>
              <w:jc w:val="center"/>
            </w:pPr>
            <w:r>
              <w:rPr>
                <w:rFonts w:ascii="Times New Roman" w:hAnsi="Times New Roman"/>
                <w:sz w:val="16"/>
              </w:rPr>
              <w:t>1,576,547.4</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0.6799</w:t>
            </w:r>
          </w:p>
        </w:tc>
        <w:tc>
          <w:tcPr>
            <w:tcW w:type="dxa" w:w="821"/>
            <w:tcMar>
              <w:top w:w="60" w:type="dxa"/>
              <w:bottom w:w="60" w:type="dxa"/>
              <w:left w:w="100" w:type="dxa"/>
              <w:right w:w="100" w:type="dxa"/>
            </w:tcMar>
          </w:tcPr>
          <w:p>
            <w:pPr>
              <w:jc w:val="center"/>
            </w:pPr>
            <w:r>
              <w:rPr>
                <w:rFonts w:ascii="Times New Roman" w:hAnsi="Times New Roman"/>
                <w:sz w:val="16"/>
              </w:rPr>
              <w:t>0.5920</w:t>
            </w:r>
          </w:p>
        </w:tc>
        <w:tc>
          <w:tcPr>
            <w:tcW w:type="dxa" w:w="821"/>
            <w:tcMar>
              <w:top w:w="60" w:type="dxa"/>
              <w:bottom w:w="60" w:type="dxa"/>
              <w:left w:w="100" w:type="dxa"/>
              <w:right w:w="100" w:type="dxa"/>
            </w:tcMar>
          </w:tcPr>
          <w:p>
            <w:pPr>
              <w:jc w:val="center"/>
            </w:pPr>
            <w:r>
              <w:rPr>
                <w:rFonts w:ascii="Times New Roman" w:hAnsi="Times New Roman"/>
                <w:sz w:val="16"/>
              </w:rPr>
              <w:t>0.6797</w:t>
            </w:r>
          </w:p>
        </w:tc>
      </w:tr>
    </w:tbl>
    <w:p>
      <w:pPr>
        <w:spacing w:before="0" w:after="120"/>
      </w:pPr>
    </w:p>
    <w:p>
      <w:pPr>
        <w:pStyle w:val="IJASEITParagraph"/>
        <w:spacing w:line="252" w:lineRule="auto" w:after="80"/>
        <w:jc w:val="both"/>
      </w:pPr>
      <w:r>
        <w:rPr>
          <w:rFonts w:ascii="Times New Roman" w:hAnsi="Times New Roman"/>
          <w:sz w:val="20"/>
        </w:rPr>
        <w:t>Table 3 details the Macro F1 cross-dataset performance matrix across individual datasets.</w:t>
      </w:r>
    </w:p>
    <w:p>
      <w:pPr>
        <w:spacing w:before="160" w:after="60"/>
        <w:jc w:val="center"/>
      </w:pPr>
      <w:r>
        <w:rPr>
          <w:rFonts w:ascii="Times New Roman" w:hAnsi="Times New Roman"/>
          <w:b/>
          <w:sz w:val="18"/>
        </w:rPr>
        <w:t>Table 3. Macro F1 Cross-Dataset Performance Matrix</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003"/>
        <w:gridCol w:w="1003"/>
        <w:gridCol w:w="1003"/>
        <w:gridCol w:w="1003"/>
        <w:gridCol w:w="1003"/>
        <w:gridCol w:w="1003"/>
        <w:gridCol w:w="1003"/>
        <w:gridCol w:w="1003"/>
        <w:gridCol w:w="1003"/>
      </w:tblGrid>
      <w:tr>
        <w:trPr>
          <w:tblHeader/>
        </w:trPr>
        <w:tc>
          <w:tcPr>
            <w:tcW w:type="dxa" w:w="1003"/>
            <w:tcMar>
              <w:top w:w="80" w:type="dxa"/>
              <w:bottom w:w="80" w:type="dxa"/>
              <w:left w:w="100" w:type="dxa"/>
              <w:right w:w="100" w:type="dxa"/>
            </w:tcMar>
          </w:tcPr>
          <w:p>
            <w:pPr>
              <w:jc w:val="center"/>
            </w:pPr>
            <w:r>
              <w:rPr>
                <w:rFonts w:ascii="Times New Roman" w:hAnsi="Times New Roman"/>
                <w:b/>
                <w:sz w:val="17"/>
              </w:rPr>
              <w:t>Dataset Identifier</w:t>
            </w:r>
          </w:p>
        </w:tc>
        <w:tc>
          <w:tcPr>
            <w:tcW w:type="dxa" w:w="1003"/>
            <w:tcMar>
              <w:top w:w="80" w:type="dxa"/>
              <w:bottom w:w="80" w:type="dxa"/>
              <w:left w:w="100" w:type="dxa"/>
              <w:right w:w="100" w:type="dxa"/>
            </w:tcMar>
          </w:tcPr>
          <w:p>
            <w:pPr>
              <w:jc w:val="center"/>
            </w:pPr>
            <w:r>
              <w:rPr>
                <w:rFonts w:ascii="Times New Roman" w:hAnsi="Times New Roman"/>
                <w:b/>
                <w:sz w:val="17"/>
              </w:rPr>
              <w:t>LightGBM</w:t>
            </w:r>
          </w:p>
        </w:tc>
        <w:tc>
          <w:tcPr>
            <w:tcW w:type="dxa" w:w="1003"/>
            <w:tcMar>
              <w:top w:w="80" w:type="dxa"/>
              <w:bottom w:w="80" w:type="dxa"/>
              <w:left w:w="100" w:type="dxa"/>
              <w:right w:w="100" w:type="dxa"/>
            </w:tcMar>
          </w:tcPr>
          <w:p>
            <w:pPr>
              <w:jc w:val="center"/>
            </w:pPr>
            <w:r>
              <w:rPr>
                <w:rFonts w:ascii="Times New Roman" w:hAnsi="Times New Roman"/>
                <w:b/>
                <w:sz w:val="17"/>
              </w:rPr>
              <w:t>XGBoost</w:t>
            </w:r>
          </w:p>
        </w:tc>
        <w:tc>
          <w:tcPr>
            <w:tcW w:type="dxa" w:w="1003"/>
            <w:tcMar>
              <w:top w:w="80" w:type="dxa"/>
              <w:bottom w:w="80" w:type="dxa"/>
              <w:left w:w="100" w:type="dxa"/>
              <w:right w:w="100" w:type="dxa"/>
            </w:tcMar>
          </w:tcPr>
          <w:p>
            <w:pPr>
              <w:jc w:val="center"/>
            </w:pPr>
            <w:r>
              <w:rPr>
                <w:rFonts w:ascii="Times New Roman" w:hAnsi="Times New Roman"/>
                <w:b/>
                <w:sz w:val="17"/>
              </w:rPr>
              <w:t>TabPFN</w:t>
            </w:r>
          </w:p>
        </w:tc>
        <w:tc>
          <w:tcPr>
            <w:tcW w:type="dxa" w:w="1003"/>
            <w:tcMar>
              <w:top w:w="80" w:type="dxa"/>
              <w:bottom w:w="80" w:type="dxa"/>
              <w:left w:w="100" w:type="dxa"/>
              <w:right w:w="100" w:type="dxa"/>
            </w:tcMar>
          </w:tcPr>
          <w:p>
            <w:pPr>
              <w:jc w:val="center"/>
            </w:pPr>
            <w:r>
              <w:rPr>
                <w:rFonts w:ascii="Times New Roman" w:hAnsi="Times New Roman"/>
                <w:b/>
                <w:sz w:val="17"/>
              </w:rPr>
              <w:t>FT-Trans</w:t>
            </w:r>
          </w:p>
        </w:tc>
        <w:tc>
          <w:tcPr>
            <w:tcW w:type="dxa" w:w="1003"/>
            <w:tcMar>
              <w:top w:w="80" w:type="dxa"/>
              <w:bottom w:w="80" w:type="dxa"/>
              <w:left w:w="100" w:type="dxa"/>
              <w:right w:w="100" w:type="dxa"/>
            </w:tcMar>
          </w:tcPr>
          <w:p>
            <w:pPr>
              <w:jc w:val="center"/>
            </w:pPr>
            <w:r>
              <w:rPr>
                <w:rFonts w:ascii="Times New Roman" w:hAnsi="Times New Roman"/>
                <w:b/>
                <w:sz w:val="17"/>
              </w:rPr>
              <w:t>TabICL</w:t>
            </w:r>
          </w:p>
        </w:tc>
        <w:tc>
          <w:tcPr>
            <w:tcW w:type="dxa" w:w="1003"/>
            <w:tcMar>
              <w:top w:w="80" w:type="dxa"/>
              <w:bottom w:w="80" w:type="dxa"/>
              <w:left w:w="100" w:type="dxa"/>
              <w:right w:w="100" w:type="dxa"/>
            </w:tcMar>
          </w:tcPr>
          <w:p>
            <w:pPr>
              <w:jc w:val="center"/>
            </w:pPr>
            <w:r>
              <w:rPr>
                <w:rFonts w:ascii="Times New Roman" w:hAnsi="Times New Roman"/>
                <w:b/>
                <w:sz w:val="17"/>
              </w:rPr>
              <w:t>Mambular</w:t>
            </w:r>
          </w:p>
        </w:tc>
        <w:tc>
          <w:tcPr>
            <w:tcW w:type="dxa" w:w="1003"/>
            <w:tcMar>
              <w:top w:w="80" w:type="dxa"/>
              <w:bottom w:w="80" w:type="dxa"/>
              <w:left w:w="100" w:type="dxa"/>
              <w:right w:w="100" w:type="dxa"/>
            </w:tcMar>
          </w:tcPr>
          <w:p>
            <w:pPr>
              <w:jc w:val="center"/>
            </w:pPr>
            <w:r>
              <w:rPr>
                <w:rFonts w:ascii="Times New Roman" w:hAnsi="Times New Roman"/>
                <w:b/>
                <w:sz w:val="17"/>
              </w:rPr>
              <w:t>SAINT</w:t>
            </w:r>
          </w:p>
        </w:tc>
        <w:tc>
          <w:tcPr>
            <w:tcW w:type="dxa" w:w="1003"/>
            <w:tcMar>
              <w:top w:w="80" w:type="dxa"/>
              <w:bottom w:w="80" w:type="dxa"/>
              <w:left w:w="100" w:type="dxa"/>
              <w:right w:w="100" w:type="dxa"/>
            </w:tcMar>
          </w:tcPr>
          <w:p>
            <w:pPr>
              <w:jc w:val="center"/>
            </w:pPr>
            <w:r>
              <w:rPr>
                <w:rFonts w:ascii="Times New Roman" w:hAnsi="Times New Roman"/>
                <w:b/>
                <w:sz w:val="17"/>
              </w:rPr>
              <w:t>GraphIDS</w:t>
            </w:r>
          </w:p>
        </w:tc>
      </w:tr>
      <w:tr>
        <w:tc>
          <w:tcPr>
            <w:tcW w:type="dxa" w:w="1003"/>
            <w:tcMar>
              <w:top w:w="60" w:type="dxa"/>
              <w:bottom w:w="60" w:type="dxa"/>
              <w:left w:w="100" w:type="dxa"/>
              <w:right w:w="100" w:type="dxa"/>
            </w:tcMar>
          </w:tcPr>
          <w:p>
            <w:pPr>
              <w:jc w:val="left"/>
            </w:pPr>
            <w:r>
              <w:rPr>
                <w:rFonts w:ascii="Times New Roman" w:hAnsi="Times New Roman"/>
                <w:sz w:val="16"/>
              </w:rPr>
              <w:t>CIC-DDoS2019</w:t>
            </w:r>
          </w:p>
        </w:tc>
        <w:tc>
          <w:tcPr>
            <w:tcW w:type="dxa" w:w="1003"/>
            <w:tcMar>
              <w:top w:w="60" w:type="dxa"/>
              <w:bottom w:w="60" w:type="dxa"/>
              <w:left w:w="100" w:type="dxa"/>
              <w:right w:w="100" w:type="dxa"/>
            </w:tcMar>
          </w:tcPr>
          <w:p>
            <w:pPr>
              <w:jc w:val="left"/>
            </w:pPr>
            <w:r>
              <w:rPr>
                <w:rFonts w:ascii="Times New Roman" w:hAnsi="Times New Roman"/>
                <w:sz w:val="16"/>
              </w:rPr>
              <w:t>0.9965</w:t>
            </w:r>
          </w:p>
        </w:tc>
        <w:tc>
          <w:tcPr>
            <w:tcW w:type="dxa" w:w="1003"/>
            <w:tcMar>
              <w:top w:w="60" w:type="dxa"/>
              <w:bottom w:w="60" w:type="dxa"/>
              <w:left w:w="100" w:type="dxa"/>
              <w:right w:w="100" w:type="dxa"/>
            </w:tcMar>
          </w:tcPr>
          <w:p>
            <w:pPr>
              <w:jc w:val="center"/>
            </w:pPr>
            <w:r>
              <w:rPr>
                <w:rFonts w:ascii="Times New Roman" w:hAnsi="Times New Roman"/>
                <w:sz w:val="16"/>
              </w:rPr>
              <w:t>0.9965</w:t>
            </w:r>
          </w:p>
        </w:tc>
        <w:tc>
          <w:tcPr>
            <w:tcW w:type="dxa" w:w="1003"/>
            <w:tcMar>
              <w:top w:w="60" w:type="dxa"/>
              <w:bottom w:w="60" w:type="dxa"/>
              <w:left w:w="100" w:type="dxa"/>
              <w:right w:w="100" w:type="dxa"/>
            </w:tcMar>
          </w:tcPr>
          <w:p>
            <w:pPr>
              <w:jc w:val="center"/>
            </w:pPr>
            <w:r>
              <w:rPr>
                <w:rFonts w:ascii="Times New Roman" w:hAnsi="Times New Roman"/>
                <w:sz w:val="16"/>
              </w:rPr>
              <w:t>0.9947</w:t>
            </w:r>
          </w:p>
        </w:tc>
        <w:tc>
          <w:tcPr>
            <w:tcW w:type="dxa" w:w="1003"/>
            <w:tcMar>
              <w:top w:w="60" w:type="dxa"/>
              <w:bottom w:w="60" w:type="dxa"/>
              <w:left w:w="100" w:type="dxa"/>
              <w:right w:w="100" w:type="dxa"/>
            </w:tcMar>
          </w:tcPr>
          <w:p>
            <w:pPr>
              <w:jc w:val="center"/>
            </w:pPr>
            <w:r>
              <w:rPr>
                <w:rFonts w:ascii="Times New Roman" w:hAnsi="Times New Roman"/>
                <w:sz w:val="16"/>
              </w:rPr>
              <w:t>0.9947</w:t>
            </w:r>
          </w:p>
        </w:tc>
        <w:tc>
          <w:tcPr>
            <w:tcW w:type="dxa" w:w="1003"/>
            <w:tcMar>
              <w:top w:w="60" w:type="dxa"/>
              <w:bottom w:w="60" w:type="dxa"/>
              <w:left w:w="100" w:type="dxa"/>
              <w:right w:w="100" w:type="dxa"/>
            </w:tcMar>
          </w:tcPr>
          <w:p>
            <w:pPr>
              <w:jc w:val="center"/>
            </w:pPr>
            <w:r>
              <w:rPr>
                <w:rFonts w:ascii="Times New Roman" w:hAnsi="Times New Roman"/>
                <w:sz w:val="16"/>
              </w:rPr>
              <w:t>0.9939</w:t>
            </w:r>
          </w:p>
        </w:tc>
        <w:tc>
          <w:tcPr>
            <w:tcW w:type="dxa" w:w="1003"/>
            <w:tcMar>
              <w:top w:w="60" w:type="dxa"/>
              <w:bottom w:w="60" w:type="dxa"/>
              <w:left w:w="100" w:type="dxa"/>
              <w:right w:w="100" w:type="dxa"/>
            </w:tcMar>
          </w:tcPr>
          <w:p>
            <w:pPr>
              <w:jc w:val="center"/>
            </w:pPr>
            <w:r>
              <w:rPr>
                <w:rFonts w:ascii="Times New Roman" w:hAnsi="Times New Roman"/>
                <w:sz w:val="16"/>
              </w:rPr>
              <w:t>0.9937</w:t>
            </w:r>
          </w:p>
        </w:tc>
        <w:tc>
          <w:tcPr>
            <w:tcW w:type="dxa" w:w="1003"/>
            <w:tcMar>
              <w:top w:w="60" w:type="dxa"/>
              <w:bottom w:w="60" w:type="dxa"/>
              <w:left w:w="100" w:type="dxa"/>
              <w:right w:w="100" w:type="dxa"/>
            </w:tcMar>
          </w:tcPr>
          <w:p>
            <w:pPr>
              <w:jc w:val="center"/>
            </w:pPr>
            <w:r>
              <w:rPr>
                <w:rFonts w:ascii="Times New Roman" w:hAnsi="Times New Roman"/>
                <w:sz w:val="16"/>
              </w:rPr>
              <w:t>0.9931</w:t>
            </w:r>
          </w:p>
        </w:tc>
        <w:tc>
          <w:tcPr>
            <w:tcW w:type="dxa" w:w="1003"/>
            <w:tcMar>
              <w:top w:w="60" w:type="dxa"/>
              <w:bottom w:w="60" w:type="dxa"/>
              <w:left w:w="100" w:type="dxa"/>
              <w:right w:w="100" w:type="dxa"/>
            </w:tcMar>
          </w:tcPr>
          <w:p>
            <w:pPr>
              <w:jc w:val="center"/>
            </w:pPr>
            <w:r>
              <w:rPr>
                <w:rFonts w:ascii="Times New Roman" w:hAnsi="Times New Roman"/>
                <w:sz w:val="16"/>
              </w:rPr>
              <w:t>0.9843</w:t>
            </w:r>
          </w:p>
        </w:tc>
      </w:tr>
      <w:tr>
        <w:tc>
          <w:tcPr>
            <w:tcW w:type="dxa" w:w="1003"/>
            <w:tcMar>
              <w:top w:w="60" w:type="dxa"/>
              <w:bottom w:w="60" w:type="dxa"/>
              <w:left w:w="100" w:type="dxa"/>
              <w:right w:w="100" w:type="dxa"/>
            </w:tcMar>
          </w:tcPr>
          <w:p>
            <w:pPr>
              <w:jc w:val="left"/>
            </w:pPr>
            <w:r>
              <w:rPr>
                <w:rFonts w:ascii="Times New Roman" w:hAnsi="Times New Roman"/>
                <w:sz w:val="16"/>
              </w:rPr>
              <w:t>CICIDS2017</w:t>
            </w:r>
          </w:p>
        </w:tc>
        <w:tc>
          <w:tcPr>
            <w:tcW w:type="dxa" w:w="1003"/>
            <w:tcMar>
              <w:top w:w="60" w:type="dxa"/>
              <w:bottom w:w="60" w:type="dxa"/>
              <w:left w:w="100" w:type="dxa"/>
              <w:right w:w="100" w:type="dxa"/>
            </w:tcMar>
          </w:tcPr>
          <w:p>
            <w:pPr>
              <w:jc w:val="left"/>
            </w:pPr>
            <w:r>
              <w:rPr>
                <w:rFonts w:ascii="Times New Roman" w:hAnsi="Times New Roman"/>
                <w:sz w:val="16"/>
              </w:rPr>
              <w:t>0.9805</w:t>
            </w:r>
          </w:p>
        </w:tc>
        <w:tc>
          <w:tcPr>
            <w:tcW w:type="dxa" w:w="1003"/>
            <w:tcMar>
              <w:top w:w="60" w:type="dxa"/>
              <w:bottom w:w="60" w:type="dxa"/>
              <w:left w:w="100" w:type="dxa"/>
              <w:right w:w="100" w:type="dxa"/>
            </w:tcMar>
          </w:tcPr>
          <w:p>
            <w:pPr>
              <w:jc w:val="center"/>
            </w:pPr>
            <w:r>
              <w:rPr>
                <w:rFonts w:ascii="Times New Roman" w:hAnsi="Times New Roman"/>
                <w:sz w:val="16"/>
              </w:rPr>
              <w:t>0.9771</w:t>
            </w:r>
          </w:p>
        </w:tc>
        <w:tc>
          <w:tcPr>
            <w:tcW w:type="dxa" w:w="1003"/>
            <w:tcMar>
              <w:top w:w="60" w:type="dxa"/>
              <w:bottom w:w="60" w:type="dxa"/>
              <w:left w:w="100" w:type="dxa"/>
              <w:right w:w="100" w:type="dxa"/>
            </w:tcMar>
          </w:tcPr>
          <w:p>
            <w:pPr>
              <w:jc w:val="center"/>
            </w:pPr>
            <w:r>
              <w:rPr>
                <w:rFonts w:ascii="Times New Roman" w:hAnsi="Times New Roman"/>
                <w:sz w:val="16"/>
              </w:rPr>
              <w:t>0.9711</w:t>
            </w:r>
          </w:p>
        </w:tc>
        <w:tc>
          <w:tcPr>
            <w:tcW w:type="dxa" w:w="1003"/>
            <w:tcMar>
              <w:top w:w="60" w:type="dxa"/>
              <w:bottom w:w="60" w:type="dxa"/>
              <w:left w:w="100" w:type="dxa"/>
              <w:right w:w="100" w:type="dxa"/>
            </w:tcMar>
          </w:tcPr>
          <w:p>
            <w:pPr>
              <w:jc w:val="center"/>
            </w:pPr>
            <w:r>
              <w:rPr>
                <w:rFonts w:ascii="Times New Roman" w:hAnsi="Times New Roman"/>
                <w:sz w:val="16"/>
              </w:rPr>
              <w:t>0.9373</w:t>
            </w:r>
          </w:p>
        </w:tc>
        <w:tc>
          <w:tcPr>
            <w:tcW w:type="dxa" w:w="1003"/>
            <w:tcMar>
              <w:top w:w="60" w:type="dxa"/>
              <w:bottom w:w="60" w:type="dxa"/>
              <w:left w:w="100" w:type="dxa"/>
              <w:right w:w="100" w:type="dxa"/>
            </w:tcMar>
          </w:tcPr>
          <w:p>
            <w:pPr>
              <w:jc w:val="center"/>
            </w:pPr>
            <w:r>
              <w:rPr>
                <w:rFonts w:ascii="Times New Roman" w:hAnsi="Times New Roman"/>
                <w:sz w:val="16"/>
              </w:rPr>
              <w:t>0.9177</w:t>
            </w:r>
          </w:p>
        </w:tc>
        <w:tc>
          <w:tcPr>
            <w:tcW w:type="dxa" w:w="1003"/>
            <w:tcMar>
              <w:top w:w="60" w:type="dxa"/>
              <w:bottom w:w="60" w:type="dxa"/>
              <w:left w:w="100" w:type="dxa"/>
              <w:right w:w="100" w:type="dxa"/>
            </w:tcMar>
          </w:tcPr>
          <w:p>
            <w:pPr>
              <w:jc w:val="center"/>
            </w:pPr>
            <w:r>
              <w:rPr>
                <w:rFonts w:ascii="Times New Roman" w:hAnsi="Times New Roman"/>
                <w:sz w:val="16"/>
              </w:rPr>
              <w:t>0.9342</w:t>
            </w:r>
          </w:p>
        </w:tc>
        <w:tc>
          <w:tcPr>
            <w:tcW w:type="dxa" w:w="1003"/>
            <w:tcMar>
              <w:top w:w="60" w:type="dxa"/>
              <w:bottom w:w="60" w:type="dxa"/>
              <w:left w:w="100" w:type="dxa"/>
              <w:right w:w="100" w:type="dxa"/>
            </w:tcMar>
          </w:tcPr>
          <w:p>
            <w:pPr>
              <w:jc w:val="center"/>
            </w:pPr>
            <w:r>
              <w:rPr>
                <w:rFonts w:ascii="Times New Roman" w:hAnsi="Times New Roman"/>
                <w:sz w:val="16"/>
              </w:rPr>
              <w:t>0.9318</w:t>
            </w:r>
          </w:p>
        </w:tc>
        <w:tc>
          <w:tcPr>
            <w:tcW w:type="dxa" w:w="1003"/>
            <w:tcMar>
              <w:top w:w="60" w:type="dxa"/>
              <w:bottom w:w="60" w:type="dxa"/>
              <w:left w:w="100" w:type="dxa"/>
              <w:right w:w="100" w:type="dxa"/>
            </w:tcMar>
          </w:tcPr>
          <w:p>
            <w:pPr>
              <w:jc w:val="center"/>
            </w:pPr>
            <w:r>
              <w:rPr>
                <w:rFonts w:ascii="Times New Roman" w:hAnsi="Times New Roman"/>
                <w:sz w:val="16"/>
              </w:rPr>
              <w:t>0.9055</w:t>
            </w:r>
          </w:p>
        </w:tc>
      </w:tr>
      <w:tr>
        <w:tc>
          <w:tcPr>
            <w:tcW w:type="dxa" w:w="1003"/>
            <w:tcMar>
              <w:top w:w="60" w:type="dxa"/>
              <w:bottom w:w="60" w:type="dxa"/>
              <w:left w:w="100" w:type="dxa"/>
              <w:right w:w="100" w:type="dxa"/>
            </w:tcMar>
          </w:tcPr>
          <w:p>
            <w:pPr>
              <w:jc w:val="left"/>
            </w:pPr>
            <w:r>
              <w:rPr>
                <w:rFonts w:ascii="Times New Roman" w:hAnsi="Times New Roman"/>
                <w:sz w:val="16"/>
              </w:rPr>
              <w:t>NSL-KDD</w:t>
            </w:r>
          </w:p>
        </w:tc>
        <w:tc>
          <w:tcPr>
            <w:tcW w:type="dxa" w:w="1003"/>
            <w:tcMar>
              <w:top w:w="60" w:type="dxa"/>
              <w:bottom w:w="60" w:type="dxa"/>
              <w:left w:w="100" w:type="dxa"/>
              <w:right w:w="100" w:type="dxa"/>
            </w:tcMar>
          </w:tcPr>
          <w:p>
            <w:pPr>
              <w:jc w:val="left"/>
            </w:pPr>
            <w:r>
              <w:rPr>
                <w:rFonts w:ascii="Times New Roman" w:hAnsi="Times New Roman"/>
                <w:sz w:val="16"/>
              </w:rPr>
              <w:t>0.9771</w:t>
            </w:r>
          </w:p>
        </w:tc>
        <w:tc>
          <w:tcPr>
            <w:tcW w:type="dxa" w:w="1003"/>
            <w:tcMar>
              <w:top w:w="60" w:type="dxa"/>
              <w:bottom w:w="60" w:type="dxa"/>
              <w:left w:w="100" w:type="dxa"/>
              <w:right w:w="100" w:type="dxa"/>
            </w:tcMar>
          </w:tcPr>
          <w:p>
            <w:pPr>
              <w:jc w:val="center"/>
            </w:pPr>
            <w:r>
              <w:rPr>
                <w:rFonts w:ascii="Times New Roman" w:hAnsi="Times New Roman"/>
                <w:sz w:val="16"/>
              </w:rPr>
              <w:t>0.9776</w:t>
            </w:r>
          </w:p>
        </w:tc>
        <w:tc>
          <w:tcPr>
            <w:tcW w:type="dxa" w:w="1003"/>
            <w:tcMar>
              <w:top w:w="60" w:type="dxa"/>
              <w:bottom w:w="60" w:type="dxa"/>
              <w:left w:w="100" w:type="dxa"/>
              <w:right w:w="100" w:type="dxa"/>
            </w:tcMar>
          </w:tcPr>
          <w:p>
            <w:pPr>
              <w:jc w:val="center"/>
            </w:pPr>
            <w:r>
              <w:rPr>
                <w:rFonts w:ascii="Times New Roman" w:hAnsi="Times New Roman"/>
                <w:sz w:val="16"/>
              </w:rPr>
              <w:t>0.9813</w:t>
            </w:r>
          </w:p>
        </w:tc>
        <w:tc>
          <w:tcPr>
            <w:tcW w:type="dxa" w:w="1003"/>
            <w:tcMar>
              <w:top w:w="60" w:type="dxa"/>
              <w:bottom w:w="60" w:type="dxa"/>
              <w:left w:w="100" w:type="dxa"/>
              <w:right w:w="100" w:type="dxa"/>
            </w:tcMar>
          </w:tcPr>
          <w:p>
            <w:pPr>
              <w:jc w:val="center"/>
            </w:pPr>
            <w:r>
              <w:rPr>
                <w:rFonts w:ascii="Times New Roman" w:hAnsi="Times New Roman"/>
                <w:sz w:val="16"/>
              </w:rPr>
              <w:t>0.9579</w:t>
            </w:r>
          </w:p>
        </w:tc>
        <w:tc>
          <w:tcPr>
            <w:tcW w:type="dxa" w:w="1003"/>
            <w:tcMar>
              <w:top w:w="60" w:type="dxa"/>
              <w:bottom w:w="60" w:type="dxa"/>
              <w:left w:w="100" w:type="dxa"/>
              <w:right w:w="100" w:type="dxa"/>
            </w:tcMar>
          </w:tcPr>
          <w:p>
            <w:pPr>
              <w:jc w:val="center"/>
            </w:pPr>
            <w:r>
              <w:rPr>
                <w:rFonts w:ascii="Times New Roman" w:hAnsi="Times New Roman"/>
                <w:sz w:val="16"/>
              </w:rPr>
              <w:t>0.9587</w:t>
            </w:r>
          </w:p>
        </w:tc>
        <w:tc>
          <w:tcPr>
            <w:tcW w:type="dxa" w:w="1003"/>
            <w:tcMar>
              <w:top w:w="60" w:type="dxa"/>
              <w:bottom w:w="60" w:type="dxa"/>
              <w:left w:w="100" w:type="dxa"/>
              <w:right w:w="100" w:type="dxa"/>
            </w:tcMar>
          </w:tcPr>
          <w:p>
            <w:pPr>
              <w:jc w:val="center"/>
            </w:pPr>
            <w:r>
              <w:rPr>
                <w:rFonts w:ascii="Times New Roman" w:hAnsi="Times New Roman"/>
                <w:sz w:val="16"/>
              </w:rPr>
              <w:t>0.9605</w:t>
            </w:r>
          </w:p>
        </w:tc>
        <w:tc>
          <w:tcPr>
            <w:tcW w:type="dxa" w:w="1003"/>
            <w:tcMar>
              <w:top w:w="60" w:type="dxa"/>
              <w:bottom w:w="60" w:type="dxa"/>
              <w:left w:w="100" w:type="dxa"/>
              <w:right w:w="100" w:type="dxa"/>
            </w:tcMar>
          </w:tcPr>
          <w:p>
            <w:pPr>
              <w:jc w:val="center"/>
            </w:pPr>
            <w:r>
              <w:rPr>
                <w:rFonts w:ascii="Times New Roman" w:hAnsi="Times New Roman"/>
                <w:sz w:val="16"/>
              </w:rPr>
              <w:t>0.9599</w:t>
            </w:r>
          </w:p>
        </w:tc>
        <w:tc>
          <w:tcPr>
            <w:tcW w:type="dxa" w:w="1003"/>
            <w:tcMar>
              <w:top w:w="60" w:type="dxa"/>
              <w:bottom w:w="60" w:type="dxa"/>
              <w:left w:w="100" w:type="dxa"/>
              <w:right w:w="100" w:type="dxa"/>
            </w:tcMar>
          </w:tcPr>
          <w:p>
            <w:pPr>
              <w:jc w:val="center"/>
            </w:pPr>
            <w:r>
              <w:rPr>
                <w:rFonts w:ascii="Times New Roman" w:hAnsi="Times New Roman"/>
                <w:sz w:val="16"/>
              </w:rPr>
              <w:t>0.9493</w:t>
            </w:r>
          </w:p>
        </w:tc>
      </w:tr>
      <w:tr>
        <w:tc>
          <w:tcPr>
            <w:tcW w:type="dxa" w:w="1003"/>
            <w:tcMar>
              <w:top w:w="60" w:type="dxa"/>
              <w:bottom w:w="60" w:type="dxa"/>
              <w:left w:w="100" w:type="dxa"/>
              <w:right w:w="100" w:type="dxa"/>
            </w:tcMar>
          </w:tcPr>
          <w:p>
            <w:pPr>
              <w:jc w:val="left"/>
            </w:pPr>
            <w:r>
              <w:rPr>
                <w:rFonts w:ascii="Times New Roman" w:hAnsi="Times New Roman"/>
                <w:sz w:val="16"/>
              </w:rPr>
              <w:t>TON_IoT</w:t>
            </w:r>
          </w:p>
        </w:tc>
        <w:tc>
          <w:tcPr>
            <w:tcW w:type="dxa" w:w="1003"/>
            <w:tcMar>
              <w:top w:w="60" w:type="dxa"/>
              <w:bottom w:w="60" w:type="dxa"/>
              <w:left w:w="100" w:type="dxa"/>
              <w:right w:w="100" w:type="dxa"/>
            </w:tcMar>
          </w:tcPr>
          <w:p>
            <w:pPr>
              <w:jc w:val="left"/>
            </w:pPr>
            <w:r>
              <w:rPr>
                <w:rFonts w:ascii="Times New Roman" w:hAnsi="Times New Roman"/>
                <w:sz w:val="16"/>
              </w:rPr>
              <w:t>0.7170</w:t>
            </w:r>
          </w:p>
        </w:tc>
        <w:tc>
          <w:tcPr>
            <w:tcW w:type="dxa" w:w="1003"/>
            <w:tcMar>
              <w:top w:w="60" w:type="dxa"/>
              <w:bottom w:w="60" w:type="dxa"/>
              <w:left w:w="100" w:type="dxa"/>
              <w:right w:w="100" w:type="dxa"/>
            </w:tcMar>
          </w:tcPr>
          <w:p>
            <w:pPr>
              <w:jc w:val="center"/>
            </w:pPr>
            <w:r>
              <w:rPr>
                <w:rFonts w:ascii="Times New Roman" w:hAnsi="Times New Roman"/>
                <w:sz w:val="16"/>
              </w:rPr>
              <w:t>0.7155</w:t>
            </w:r>
          </w:p>
        </w:tc>
        <w:tc>
          <w:tcPr>
            <w:tcW w:type="dxa" w:w="1003"/>
            <w:tcMar>
              <w:top w:w="60" w:type="dxa"/>
              <w:bottom w:w="60" w:type="dxa"/>
              <w:left w:w="100" w:type="dxa"/>
              <w:right w:w="100" w:type="dxa"/>
            </w:tcMar>
          </w:tcPr>
          <w:p>
            <w:pPr>
              <w:jc w:val="center"/>
            </w:pPr>
            <w:r>
              <w:rPr>
                <w:rFonts w:ascii="Times New Roman" w:hAnsi="Times New Roman"/>
                <w:sz w:val="16"/>
              </w:rPr>
              <w:t>0.7121</w:t>
            </w:r>
          </w:p>
        </w:tc>
        <w:tc>
          <w:tcPr>
            <w:tcW w:type="dxa" w:w="1003"/>
            <w:tcMar>
              <w:top w:w="60" w:type="dxa"/>
              <w:bottom w:w="60" w:type="dxa"/>
              <w:left w:w="100" w:type="dxa"/>
              <w:right w:w="100" w:type="dxa"/>
            </w:tcMar>
          </w:tcPr>
          <w:p>
            <w:pPr>
              <w:jc w:val="center"/>
            </w:pPr>
            <w:r>
              <w:rPr>
                <w:rFonts w:ascii="Times New Roman" w:hAnsi="Times New Roman"/>
                <w:sz w:val="16"/>
              </w:rPr>
              <w:t>0.6512</w:t>
            </w:r>
          </w:p>
        </w:tc>
        <w:tc>
          <w:tcPr>
            <w:tcW w:type="dxa" w:w="1003"/>
            <w:tcMar>
              <w:top w:w="60" w:type="dxa"/>
              <w:bottom w:w="60" w:type="dxa"/>
              <w:left w:w="100" w:type="dxa"/>
              <w:right w:w="100" w:type="dxa"/>
            </w:tcMar>
          </w:tcPr>
          <w:p>
            <w:pPr>
              <w:jc w:val="center"/>
            </w:pPr>
            <w:r>
              <w:rPr>
                <w:rFonts w:ascii="Times New Roman" w:hAnsi="Times New Roman"/>
                <w:sz w:val="16"/>
              </w:rPr>
              <w:t>0.6518</w:t>
            </w:r>
          </w:p>
        </w:tc>
        <w:tc>
          <w:tcPr>
            <w:tcW w:type="dxa" w:w="1003"/>
            <w:tcMar>
              <w:top w:w="60" w:type="dxa"/>
              <w:bottom w:w="60" w:type="dxa"/>
              <w:left w:w="100" w:type="dxa"/>
              <w:right w:w="100" w:type="dxa"/>
            </w:tcMar>
          </w:tcPr>
          <w:p>
            <w:pPr>
              <w:jc w:val="center"/>
            </w:pPr>
            <w:r>
              <w:rPr>
                <w:rFonts w:ascii="Times New Roman" w:hAnsi="Times New Roman"/>
                <w:sz w:val="16"/>
              </w:rPr>
              <w:t>0.6511</w:t>
            </w:r>
          </w:p>
        </w:tc>
        <w:tc>
          <w:tcPr>
            <w:tcW w:type="dxa" w:w="1003"/>
            <w:tcMar>
              <w:top w:w="60" w:type="dxa"/>
              <w:bottom w:w="60" w:type="dxa"/>
              <w:left w:w="100" w:type="dxa"/>
              <w:right w:w="100" w:type="dxa"/>
            </w:tcMar>
          </w:tcPr>
          <w:p>
            <w:pPr>
              <w:jc w:val="center"/>
            </w:pPr>
            <w:r>
              <w:rPr>
                <w:rFonts w:ascii="Times New Roman" w:hAnsi="Times New Roman"/>
                <w:sz w:val="16"/>
              </w:rPr>
              <w:t>0.6497</w:t>
            </w:r>
          </w:p>
        </w:tc>
        <w:tc>
          <w:tcPr>
            <w:tcW w:type="dxa" w:w="1003"/>
            <w:tcMar>
              <w:top w:w="60" w:type="dxa"/>
              <w:bottom w:w="60" w:type="dxa"/>
              <w:left w:w="100" w:type="dxa"/>
              <w:right w:w="100" w:type="dxa"/>
            </w:tcMar>
          </w:tcPr>
          <w:p>
            <w:pPr>
              <w:jc w:val="center"/>
            </w:pPr>
            <w:r>
              <w:rPr>
                <w:rFonts w:ascii="Times New Roman" w:hAnsi="Times New Roman"/>
                <w:sz w:val="16"/>
              </w:rPr>
              <w:t>0.5983</w:t>
            </w:r>
          </w:p>
        </w:tc>
      </w:tr>
      <w:tr>
        <w:tc>
          <w:tcPr>
            <w:tcW w:type="dxa" w:w="1003"/>
            <w:tcMar>
              <w:top w:w="60" w:type="dxa"/>
              <w:bottom w:w="60" w:type="dxa"/>
              <w:left w:w="100" w:type="dxa"/>
              <w:right w:w="100" w:type="dxa"/>
            </w:tcMar>
          </w:tcPr>
          <w:p>
            <w:pPr>
              <w:jc w:val="left"/>
            </w:pPr>
            <w:r>
              <w:rPr>
                <w:rFonts w:ascii="Times New Roman" w:hAnsi="Times New Roman"/>
                <w:sz w:val="16"/>
              </w:rPr>
              <w:t>UNSW-NB15</w:t>
            </w:r>
          </w:p>
        </w:tc>
        <w:tc>
          <w:tcPr>
            <w:tcW w:type="dxa" w:w="1003"/>
            <w:tcMar>
              <w:top w:w="60" w:type="dxa"/>
              <w:bottom w:w="60" w:type="dxa"/>
              <w:left w:w="100" w:type="dxa"/>
              <w:right w:w="100" w:type="dxa"/>
            </w:tcMar>
          </w:tcPr>
          <w:p>
            <w:pPr>
              <w:jc w:val="left"/>
            </w:pPr>
            <w:r>
              <w:rPr>
                <w:rFonts w:ascii="Times New Roman" w:hAnsi="Times New Roman"/>
                <w:sz w:val="16"/>
              </w:rPr>
              <w:t>0.6787</w:t>
            </w:r>
          </w:p>
        </w:tc>
        <w:tc>
          <w:tcPr>
            <w:tcW w:type="dxa" w:w="1003"/>
            <w:tcMar>
              <w:top w:w="60" w:type="dxa"/>
              <w:bottom w:w="60" w:type="dxa"/>
              <w:left w:w="100" w:type="dxa"/>
              <w:right w:w="100" w:type="dxa"/>
            </w:tcMar>
          </w:tcPr>
          <w:p>
            <w:pPr>
              <w:jc w:val="center"/>
            </w:pPr>
            <w:r>
              <w:rPr>
                <w:rFonts w:ascii="Times New Roman" w:hAnsi="Times New Roman"/>
                <w:sz w:val="16"/>
              </w:rPr>
              <w:t>0.6771</w:t>
            </w:r>
          </w:p>
        </w:tc>
        <w:tc>
          <w:tcPr>
            <w:tcW w:type="dxa" w:w="1003"/>
            <w:tcMar>
              <w:top w:w="60" w:type="dxa"/>
              <w:bottom w:w="60" w:type="dxa"/>
              <w:left w:w="100" w:type="dxa"/>
              <w:right w:w="100" w:type="dxa"/>
            </w:tcMar>
          </w:tcPr>
          <w:p>
            <w:pPr>
              <w:jc w:val="center"/>
            </w:pPr>
            <w:r>
              <w:rPr>
                <w:rFonts w:ascii="Times New Roman" w:hAnsi="Times New Roman"/>
                <w:sz w:val="16"/>
              </w:rPr>
              <w:t>0.6592</w:t>
            </w:r>
          </w:p>
        </w:tc>
        <w:tc>
          <w:tcPr>
            <w:tcW w:type="dxa" w:w="1003"/>
            <w:tcMar>
              <w:top w:w="60" w:type="dxa"/>
              <w:bottom w:w="60" w:type="dxa"/>
              <w:left w:w="100" w:type="dxa"/>
              <w:right w:w="100" w:type="dxa"/>
            </w:tcMar>
          </w:tcPr>
          <w:p>
            <w:pPr>
              <w:jc w:val="center"/>
            </w:pPr>
            <w:r>
              <w:rPr>
                <w:rFonts w:ascii="Times New Roman" w:hAnsi="Times New Roman"/>
                <w:sz w:val="16"/>
              </w:rPr>
              <w:t>0.6447</w:t>
            </w:r>
          </w:p>
        </w:tc>
        <w:tc>
          <w:tcPr>
            <w:tcW w:type="dxa" w:w="1003"/>
            <w:tcMar>
              <w:top w:w="60" w:type="dxa"/>
              <w:bottom w:w="60" w:type="dxa"/>
              <w:left w:w="100" w:type="dxa"/>
              <w:right w:w="100" w:type="dxa"/>
            </w:tcMar>
          </w:tcPr>
          <w:p>
            <w:pPr>
              <w:jc w:val="center"/>
            </w:pPr>
            <w:r>
              <w:rPr>
                <w:rFonts w:ascii="Times New Roman" w:hAnsi="Times New Roman"/>
                <w:sz w:val="16"/>
              </w:rPr>
              <w:t>0.6309</w:t>
            </w:r>
          </w:p>
        </w:tc>
        <w:tc>
          <w:tcPr>
            <w:tcW w:type="dxa" w:w="1003"/>
            <w:tcMar>
              <w:top w:w="60" w:type="dxa"/>
              <w:bottom w:w="60" w:type="dxa"/>
              <w:left w:w="100" w:type="dxa"/>
              <w:right w:w="100" w:type="dxa"/>
            </w:tcMar>
          </w:tcPr>
          <w:p>
            <w:pPr>
              <w:jc w:val="center"/>
            </w:pPr>
            <w:r>
              <w:rPr>
                <w:rFonts w:ascii="Times New Roman" w:hAnsi="Times New Roman"/>
                <w:sz w:val="16"/>
              </w:rPr>
              <w:t>0.6325</w:t>
            </w:r>
          </w:p>
        </w:tc>
        <w:tc>
          <w:tcPr>
            <w:tcW w:type="dxa" w:w="1003"/>
            <w:tcMar>
              <w:top w:w="60" w:type="dxa"/>
              <w:bottom w:w="60" w:type="dxa"/>
              <w:left w:w="100" w:type="dxa"/>
              <w:right w:w="100" w:type="dxa"/>
            </w:tcMar>
          </w:tcPr>
          <w:p>
            <w:pPr>
              <w:jc w:val="center"/>
            </w:pPr>
            <w:r>
              <w:rPr>
                <w:rFonts w:ascii="Times New Roman" w:hAnsi="Times New Roman"/>
                <w:sz w:val="16"/>
              </w:rPr>
              <w:t>0.6350</w:t>
            </w:r>
          </w:p>
        </w:tc>
        <w:tc>
          <w:tcPr>
            <w:tcW w:type="dxa" w:w="1003"/>
            <w:tcMar>
              <w:top w:w="60" w:type="dxa"/>
              <w:bottom w:w="60" w:type="dxa"/>
              <w:left w:w="100" w:type="dxa"/>
              <w:right w:w="100" w:type="dxa"/>
            </w:tcMar>
          </w:tcPr>
          <w:p>
            <w:pPr>
              <w:jc w:val="center"/>
            </w:pPr>
            <w:r>
              <w:rPr>
                <w:rFonts w:ascii="Times New Roman" w:hAnsi="Times New Roman"/>
                <w:sz w:val="16"/>
              </w:rPr>
              <w:t>0.6244</w:t>
            </w:r>
          </w:p>
        </w:tc>
      </w:tr>
    </w:tbl>
    <w:p>
      <w:pPr>
        <w:spacing w:before="0" w:after="120"/>
      </w:pPr>
    </w:p>
    <w:p>
      <w:pPr>
        <w:spacing w:before="160" w:after="40"/>
        <w:jc w:val="center"/>
      </w:pPr>
      <w:r>
        <w:drawing>
          <wp:inline xmlns:a="http://schemas.openxmlformats.org/drawingml/2006/main" xmlns:pic="http://schemas.openxmlformats.org/drawingml/2006/picture">
            <wp:extent cx="5303520" cy="3645265"/>
            <wp:docPr id="4" name="Picture 4"/>
            <wp:cNvGraphicFramePr>
              <a:graphicFrameLocks noChangeAspect="1"/>
            </wp:cNvGraphicFramePr>
            <a:graphic>
              <a:graphicData uri="http://schemas.openxmlformats.org/drawingml/2006/picture">
                <pic:pic>
                  <pic:nvPicPr>
                    <pic:cNvPr id="0" name="fig02_phase2_track_a_generalization_pareto_all.png"/>
                    <pic:cNvPicPr/>
                  </pic:nvPicPr>
                  <pic:blipFill>
                    <a:blip r:embed="rId22"/>
                    <a:stretch>
                      <a:fillRect/>
                    </a:stretch>
                  </pic:blipFill>
                  <pic:spPr>
                    <a:xfrm>
                      <a:off x="0" y="0"/>
                      <a:ext cx="5303520" cy="3645265"/>
                    </a:xfrm>
                    <a:prstGeom prst="rect"/>
                  </pic:spPr>
                </pic:pic>
              </a:graphicData>
            </a:graphic>
          </wp:inline>
        </w:drawing>
      </w:r>
    </w:p>
    <w:p>
      <w:pPr>
        <w:spacing w:before="40" w:after="160"/>
        <w:jc w:val="center"/>
      </w:pPr>
      <w:r>
        <w:rPr>
          <w:rFonts w:ascii="Times New Roman" w:hAnsi="Times New Roman"/>
          <w:i/>
          <w:sz w:val="16"/>
        </w:rPr>
        <w:t>Fig 2. Seen F1 versus Unseen Zero-Day F1 Pareto frontier across evaluated architectures.</w:t>
      </w:r>
    </w:p>
    <w:p>
      <w:pPr>
        <w:pStyle w:val="IJASEITParagraph"/>
        <w:spacing w:line="252" w:lineRule="auto" w:after="80"/>
        <w:jc w:val="both"/>
      </w:pPr>
      <w:r>
        <w:rPr>
          <w:rFonts w:ascii="Times New Roman" w:hAnsi="Times New Roman"/>
          <w:sz w:val="20"/>
        </w:rPr>
        <w:t>The empirical results reveal two fundamental insights: First, GBDTs (LightGBM and XGBoost) dominate observed attack manifolds (Seen F1 = 0.9470 and 0.9469), confirming that axis-aligned step-function cuts fit discrete NetFlow telemetry with high fidelity. Second, supervised trees suffer a 35-percentage-point drop on unobserved zero-day attacks (falling to 0.5999 and 0.5922). Conversely, TabPFN v3 achieves the highest Unseen F1 (0.6173 +- 0.4275), demonstrating that synthetic prior-data regularization prevents overconfident leaf-node snapping. However, TabPFN requires 3.11 ms per flow (338.5 flows/s), making it unsuitable for perimeter streaming inspection.</w:t>
      </w:r>
    </w:p>
    <w:p>
      <w:pPr>
        <w:pStyle w:val="IJASEITHeading2"/>
        <w:spacing w:before="160" w:after="60"/>
      </w:pPr>
      <w:r>
        <w:rPr>
          <w:rFonts w:ascii="Times New Roman" w:hAnsi="Times New Roman"/>
          <w:b/>
          <w:sz w:val="22"/>
        </w:rPr>
        <w:t>3.2. Track B Industrial Streaming Scalability and Dynamic Telemetry</w:t>
      </w:r>
    </w:p>
    <w:p>
      <w:pPr>
        <w:pStyle w:val="IJASEITParagraph"/>
        <w:spacing w:line="252" w:lineRule="auto" w:after="80"/>
        <w:jc w:val="both"/>
      </w:pPr>
      <w:r>
        <w:rPr>
          <w:rFonts w:ascii="Times New Roman" w:hAnsi="Times New Roman"/>
          <w:sz w:val="20"/>
        </w:rPr>
        <w:t>Table 4 presents industrial scalability metrics across expanding sample regimes (N in {50k, 100k, 190.5k, 250k}), recording throughput, latency, and active CUDA memory allocation.</w:t>
      </w:r>
    </w:p>
    <w:p>
      <w:pPr>
        <w:spacing w:before="160" w:after="60"/>
        <w:jc w:val="center"/>
      </w:pPr>
      <w:r>
        <w:rPr>
          <w:rFonts w:ascii="Times New Roman" w:hAnsi="Times New Roman"/>
          <w:b/>
          <w:sz w:val="18"/>
        </w:rPr>
        <w:t>Table 4. Track B Industrial Scalability Profiling Across Sample Volumes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805"/>
        <w:gridCol w:w="1805"/>
        <w:gridCol w:w="1805"/>
        <w:gridCol w:w="1805"/>
        <w:gridCol w:w="1805"/>
      </w:tblGrid>
      <w:tr>
        <w:trPr>
          <w:tblHeader/>
        </w:trPr>
        <w:tc>
          <w:tcPr>
            <w:tcW w:type="dxa" w:w="1805"/>
            <w:tcMar>
              <w:top w:w="80" w:type="dxa"/>
              <w:bottom w:w="80" w:type="dxa"/>
              <w:left w:w="100" w:type="dxa"/>
              <w:right w:w="100" w:type="dxa"/>
            </w:tcMar>
          </w:tcPr>
          <w:p>
            <w:pPr>
              <w:jc w:val="center"/>
            </w:pPr>
            <w:r>
              <w:rPr>
                <w:rFonts w:ascii="Times New Roman" w:hAnsi="Times New Roman"/>
                <w:b/>
                <w:sz w:val="17"/>
              </w:rPr>
              <w:t>Scale (N)</w:t>
            </w:r>
          </w:p>
        </w:tc>
        <w:tc>
          <w:tcPr>
            <w:tcW w:type="dxa" w:w="1805"/>
            <w:tcMar>
              <w:top w:w="80" w:type="dxa"/>
              <w:bottom w:w="80" w:type="dxa"/>
              <w:left w:w="100" w:type="dxa"/>
              <w:right w:w="100" w:type="dxa"/>
            </w:tcMar>
          </w:tcPr>
          <w:p>
            <w:pPr>
              <w:jc w:val="center"/>
            </w:pPr>
            <w:r>
              <w:rPr>
                <w:rFonts w:ascii="Times New Roman" w:hAnsi="Times New Roman"/>
                <w:b/>
                <w:sz w:val="17"/>
              </w:rPr>
              <w:t>Architecture</w:t>
            </w:r>
          </w:p>
        </w:tc>
        <w:tc>
          <w:tcPr>
            <w:tcW w:type="dxa" w:w="1805"/>
            <w:tcMar>
              <w:top w:w="80" w:type="dxa"/>
              <w:bottom w:w="80" w:type="dxa"/>
              <w:left w:w="100" w:type="dxa"/>
              <w:right w:w="100" w:type="dxa"/>
            </w:tcMar>
          </w:tcPr>
          <w:p>
            <w:pPr>
              <w:jc w:val="center"/>
            </w:pPr>
            <w:r>
              <w:rPr>
                <w:rFonts w:ascii="Times New Roman" w:hAnsi="Times New Roman"/>
                <w:b/>
                <w:sz w:val="17"/>
              </w:rPr>
              <w:t>Throughput (flows/s)</w:t>
            </w:r>
          </w:p>
        </w:tc>
        <w:tc>
          <w:tcPr>
            <w:tcW w:type="dxa" w:w="1805"/>
            <w:tcMar>
              <w:top w:w="80" w:type="dxa"/>
              <w:bottom w:w="80" w:type="dxa"/>
              <w:left w:w="100" w:type="dxa"/>
              <w:right w:w="100" w:type="dxa"/>
            </w:tcMar>
          </w:tcPr>
          <w:p>
            <w:pPr>
              <w:jc w:val="center"/>
            </w:pPr>
            <w:r>
              <w:rPr>
                <w:rFonts w:ascii="Times New Roman" w:hAnsi="Times New Roman"/>
                <w:b/>
                <w:sz w:val="17"/>
              </w:rPr>
              <w:t>Latency (ms/flow)</w:t>
            </w:r>
          </w:p>
        </w:tc>
        <w:tc>
          <w:tcPr>
            <w:tcW w:type="dxa" w:w="1805"/>
            <w:tcMar>
              <w:top w:w="80" w:type="dxa"/>
              <w:bottom w:w="80" w:type="dxa"/>
              <w:left w:w="100" w:type="dxa"/>
              <w:right w:w="100" w:type="dxa"/>
            </w:tcMar>
          </w:tcPr>
          <w:p>
            <w:pPr>
              <w:jc w:val="center"/>
            </w:pPr>
            <w:r>
              <w:rPr>
                <w:rFonts w:ascii="Times New Roman" w:hAnsi="Times New Roman"/>
                <w:b/>
                <w:sz w:val="17"/>
              </w:rPr>
              <w:t>Peak VRAM (MB)</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1,546,456.56</w:t>
            </w:r>
          </w:p>
        </w:tc>
        <w:tc>
          <w:tcPr>
            <w:tcW w:type="dxa" w:w="1805"/>
            <w:tcMar>
              <w:top w:w="60" w:type="dxa"/>
              <w:bottom w:w="60" w:type="dxa"/>
              <w:left w:w="100" w:type="dxa"/>
              <w:right w:w="100" w:type="dxa"/>
            </w:tcMar>
          </w:tcPr>
          <w:p>
            <w:pPr>
              <w:jc w:val="center"/>
            </w:pPr>
            <w:r>
              <w:rPr>
                <w:rFonts w:ascii="Times New Roman" w:hAnsi="Times New Roman"/>
                <w:sz w:val="16"/>
              </w:rPr>
              <w:t>0.00066</w:t>
            </w:r>
          </w:p>
        </w:tc>
        <w:tc>
          <w:tcPr>
            <w:tcW w:type="dxa" w:w="1805"/>
            <w:tcMar>
              <w:top w:w="60" w:type="dxa"/>
              <w:bottom w:w="60" w:type="dxa"/>
              <w:left w:w="100" w:type="dxa"/>
              <w:right w:w="100" w:type="dxa"/>
            </w:tcMar>
          </w:tcPr>
          <w:p>
            <w:pPr>
              <w:jc w:val="center"/>
            </w:pPr>
            <w:r>
              <w:rPr>
                <w:rFonts w:ascii="Times New Roman" w:hAnsi="Times New Roman"/>
                <w:sz w:val="16"/>
              </w:rPr>
              <w:t>18.70</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1,303,967.68</w:t>
            </w:r>
          </w:p>
        </w:tc>
        <w:tc>
          <w:tcPr>
            <w:tcW w:type="dxa" w:w="1805"/>
            <w:tcMar>
              <w:top w:w="60" w:type="dxa"/>
              <w:bottom w:w="60" w:type="dxa"/>
              <w:left w:w="100" w:type="dxa"/>
              <w:right w:w="100" w:type="dxa"/>
            </w:tcMar>
          </w:tcPr>
          <w:p>
            <w:pPr>
              <w:jc w:val="center"/>
            </w:pPr>
            <w:r>
              <w:rPr>
                <w:rFonts w:ascii="Times New Roman" w:hAnsi="Times New Roman"/>
                <w:sz w:val="16"/>
              </w:rPr>
              <w:t>0.00256</w:t>
            </w:r>
          </w:p>
        </w:tc>
        <w:tc>
          <w:tcPr>
            <w:tcW w:type="dxa" w:w="1805"/>
            <w:tcMar>
              <w:top w:w="60" w:type="dxa"/>
              <w:bottom w:w="60" w:type="dxa"/>
              <w:left w:w="100" w:type="dxa"/>
              <w:right w:w="100" w:type="dxa"/>
            </w:tcMar>
          </w:tcPr>
          <w:p>
            <w:pPr>
              <w:jc w:val="center"/>
            </w:pPr>
            <w:r>
              <w:rPr>
                <w:rFonts w:ascii="Times New Roman" w:hAnsi="Times New Roman"/>
                <w:sz w:val="16"/>
              </w:rPr>
              <w:t>28.95</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872,473.44</w:t>
            </w:r>
          </w:p>
        </w:tc>
        <w:tc>
          <w:tcPr>
            <w:tcW w:type="dxa" w:w="1805"/>
            <w:tcMar>
              <w:top w:w="60" w:type="dxa"/>
              <w:bottom w:w="60" w:type="dxa"/>
              <w:left w:w="100" w:type="dxa"/>
              <w:right w:w="100" w:type="dxa"/>
            </w:tcMar>
          </w:tcPr>
          <w:p>
            <w:pPr>
              <w:jc w:val="center"/>
            </w:pPr>
            <w:r>
              <w:rPr>
                <w:rFonts w:ascii="Times New Roman" w:hAnsi="Times New Roman"/>
                <w:sz w:val="16"/>
              </w:rPr>
              <w:t>0.00118</w:t>
            </w:r>
          </w:p>
        </w:tc>
        <w:tc>
          <w:tcPr>
            <w:tcW w:type="dxa" w:w="1805"/>
            <w:tcMar>
              <w:top w:w="60" w:type="dxa"/>
              <w:bottom w:w="60" w:type="dxa"/>
              <w:left w:w="100" w:type="dxa"/>
              <w:right w:w="100" w:type="dxa"/>
            </w:tcMar>
          </w:tcPr>
          <w:p>
            <w:pPr>
              <w:jc w:val="center"/>
            </w:pPr>
            <w:r>
              <w:rPr>
                <w:rFonts w:ascii="Times New Roman" w:hAnsi="Times New Roman"/>
                <w:sz w:val="16"/>
              </w:rPr>
              <w:t>24.06</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464,399.02</w:t>
            </w:r>
          </w:p>
        </w:tc>
        <w:tc>
          <w:tcPr>
            <w:tcW w:type="dxa" w:w="1805"/>
            <w:tcMar>
              <w:top w:w="60" w:type="dxa"/>
              <w:bottom w:w="60" w:type="dxa"/>
              <w:left w:w="100" w:type="dxa"/>
              <w:right w:w="100" w:type="dxa"/>
            </w:tcMar>
          </w:tcPr>
          <w:p>
            <w:pPr>
              <w:jc w:val="center"/>
            </w:pPr>
            <w:r>
              <w:rPr>
                <w:rFonts w:ascii="Times New Roman" w:hAnsi="Times New Roman"/>
                <w:sz w:val="16"/>
              </w:rPr>
              <w:t>0.00288</w:t>
            </w:r>
          </w:p>
        </w:tc>
        <w:tc>
          <w:tcPr>
            <w:tcW w:type="dxa" w:w="1805"/>
            <w:tcMar>
              <w:top w:w="60" w:type="dxa"/>
              <w:bottom w:w="60" w:type="dxa"/>
              <w:left w:w="100" w:type="dxa"/>
              <w:right w:w="100" w:type="dxa"/>
            </w:tcMar>
          </w:tcPr>
          <w:p>
            <w:pPr>
              <w:jc w:val="center"/>
            </w:pPr>
            <w:r>
              <w:rPr>
                <w:rFonts w:ascii="Times New Roman" w:hAnsi="Times New Roman"/>
                <w:sz w:val="16"/>
              </w:rPr>
              <w:t>22.90</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118,266.46</w:t>
            </w:r>
          </w:p>
        </w:tc>
        <w:tc>
          <w:tcPr>
            <w:tcW w:type="dxa" w:w="1805"/>
            <w:tcMar>
              <w:top w:w="60" w:type="dxa"/>
              <w:bottom w:w="60" w:type="dxa"/>
              <w:left w:w="100" w:type="dxa"/>
              <w:right w:w="100" w:type="dxa"/>
            </w:tcMar>
          </w:tcPr>
          <w:p>
            <w:pPr>
              <w:jc w:val="center"/>
            </w:pPr>
            <w:r>
              <w:rPr>
                <w:rFonts w:ascii="Times New Roman" w:hAnsi="Times New Roman"/>
                <w:sz w:val="16"/>
              </w:rPr>
              <w:t>0.01046</w:t>
            </w:r>
          </w:p>
        </w:tc>
        <w:tc>
          <w:tcPr>
            <w:tcW w:type="dxa" w:w="1805"/>
            <w:tcMar>
              <w:top w:w="60" w:type="dxa"/>
              <w:bottom w:w="60" w:type="dxa"/>
              <w:left w:w="100" w:type="dxa"/>
              <w:right w:w="100" w:type="dxa"/>
            </w:tcMar>
          </w:tcPr>
          <w:p>
            <w:pPr>
              <w:jc w:val="center"/>
            </w:pPr>
            <w:r>
              <w:rPr>
                <w:rFonts w:ascii="Times New Roman" w:hAnsi="Times New Roman"/>
                <w:sz w:val="16"/>
              </w:rPr>
              <w:t>95.77</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1,657,964.94</w:t>
            </w:r>
          </w:p>
        </w:tc>
        <w:tc>
          <w:tcPr>
            <w:tcW w:type="dxa" w:w="1805"/>
            <w:tcMar>
              <w:top w:w="60" w:type="dxa"/>
              <w:bottom w:w="60" w:type="dxa"/>
              <w:left w:w="100" w:type="dxa"/>
              <w:right w:w="100" w:type="dxa"/>
            </w:tcMar>
          </w:tcPr>
          <w:p>
            <w:pPr>
              <w:jc w:val="center"/>
            </w:pPr>
            <w:r>
              <w:rPr>
                <w:rFonts w:ascii="Times New Roman" w:hAnsi="Times New Roman"/>
                <w:sz w:val="16"/>
              </w:rPr>
              <w:t>0.00060</w:t>
            </w:r>
          </w:p>
        </w:tc>
        <w:tc>
          <w:tcPr>
            <w:tcW w:type="dxa" w:w="1805"/>
            <w:tcMar>
              <w:top w:w="60" w:type="dxa"/>
              <w:bottom w:w="60" w:type="dxa"/>
              <w:left w:w="100" w:type="dxa"/>
              <w:right w:w="100" w:type="dxa"/>
            </w:tcMar>
          </w:tcPr>
          <w:p>
            <w:pPr>
              <w:jc w:val="center"/>
            </w:pPr>
            <w:r>
              <w:rPr>
                <w:rFonts w:ascii="Times New Roman" w:hAnsi="Times New Roman"/>
                <w:sz w:val="16"/>
              </w:rPr>
              <w:t>18.70</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1,567,276.82</w:t>
            </w:r>
          </w:p>
        </w:tc>
        <w:tc>
          <w:tcPr>
            <w:tcW w:type="dxa" w:w="1805"/>
            <w:tcMar>
              <w:top w:w="60" w:type="dxa"/>
              <w:bottom w:w="60" w:type="dxa"/>
              <w:left w:w="100" w:type="dxa"/>
              <w:right w:w="100" w:type="dxa"/>
            </w:tcMar>
          </w:tcPr>
          <w:p>
            <w:pPr>
              <w:jc w:val="center"/>
            </w:pPr>
            <w:r>
              <w:rPr>
                <w:rFonts w:ascii="Times New Roman" w:hAnsi="Times New Roman"/>
                <w:sz w:val="16"/>
              </w:rPr>
              <w:t>0.00066</w:t>
            </w:r>
          </w:p>
        </w:tc>
        <w:tc>
          <w:tcPr>
            <w:tcW w:type="dxa" w:w="1805"/>
            <w:tcMar>
              <w:top w:w="60" w:type="dxa"/>
              <w:bottom w:w="60" w:type="dxa"/>
              <w:left w:w="100" w:type="dxa"/>
              <w:right w:w="100" w:type="dxa"/>
            </w:tcMar>
          </w:tcPr>
          <w:p>
            <w:pPr>
              <w:jc w:val="center"/>
            </w:pPr>
            <w:r>
              <w:rPr>
                <w:rFonts w:ascii="Times New Roman" w:hAnsi="Times New Roman"/>
                <w:sz w:val="16"/>
              </w:rPr>
              <w:t>28.95</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981,335.94</w:t>
            </w:r>
          </w:p>
        </w:tc>
        <w:tc>
          <w:tcPr>
            <w:tcW w:type="dxa" w:w="1805"/>
            <w:tcMar>
              <w:top w:w="60" w:type="dxa"/>
              <w:bottom w:w="60" w:type="dxa"/>
              <w:left w:w="100" w:type="dxa"/>
              <w:right w:w="100" w:type="dxa"/>
            </w:tcMar>
          </w:tcPr>
          <w:p>
            <w:pPr>
              <w:jc w:val="center"/>
            </w:pPr>
            <w:r>
              <w:rPr>
                <w:rFonts w:ascii="Times New Roman" w:hAnsi="Times New Roman"/>
                <w:sz w:val="16"/>
              </w:rPr>
              <w:t>0.00110</w:t>
            </w:r>
          </w:p>
        </w:tc>
        <w:tc>
          <w:tcPr>
            <w:tcW w:type="dxa" w:w="1805"/>
            <w:tcMar>
              <w:top w:w="60" w:type="dxa"/>
              <w:bottom w:w="60" w:type="dxa"/>
              <w:left w:w="100" w:type="dxa"/>
              <w:right w:w="100" w:type="dxa"/>
            </w:tcMar>
          </w:tcPr>
          <w:p>
            <w:pPr>
              <w:jc w:val="center"/>
            </w:pPr>
            <w:r>
              <w:rPr>
                <w:rFonts w:ascii="Times New Roman" w:hAnsi="Times New Roman"/>
                <w:sz w:val="16"/>
              </w:rPr>
              <w:t>27.56</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568,261.26</w:t>
            </w:r>
          </w:p>
        </w:tc>
        <w:tc>
          <w:tcPr>
            <w:tcW w:type="dxa" w:w="1805"/>
            <w:tcMar>
              <w:top w:w="60" w:type="dxa"/>
              <w:bottom w:w="60" w:type="dxa"/>
              <w:left w:w="100" w:type="dxa"/>
              <w:right w:w="100" w:type="dxa"/>
            </w:tcMar>
          </w:tcPr>
          <w:p>
            <w:pPr>
              <w:jc w:val="center"/>
            </w:pPr>
            <w:r>
              <w:rPr>
                <w:rFonts w:ascii="Times New Roman" w:hAnsi="Times New Roman"/>
                <w:sz w:val="16"/>
              </w:rPr>
              <w:t>0.00180</w:t>
            </w:r>
          </w:p>
        </w:tc>
        <w:tc>
          <w:tcPr>
            <w:tcW w:type="dxa" w:w="1805"/>
            <w:tcMar>
              <w:top w:w="60" w:type="dxa"/>
              <w:bottom w:w="60" w:type="dxa"/>
              <w:left w:w="100" w:type="dxa"/>
              <w:right w:w="100" w:type="dxa"/>
            </w:tcMar>
          </w:tcPr>
          <w:p>
            <w:pPr>
              <w:jc w:val="center"/>
            </w:pPr>
            <w:r>
              <w:rPr>
                <w:rFonts w:ascii="Times New Roman" w:hAnsi="Times New Roman"/>
                <w:sz w:val="16"/>
              </w:rPr>
              <w:t>25.40</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170,181.20</w:t>
            </w:r>
          </w:p>
        </w:tc>
        <w:tc>
          <w:tcPr>
            <w:tcW w:type="dxa" w:w="1805"/>
            <w:tcMar>
              <w:top w:w="60" w:type="dxa"/>
              <w:bottom w:w="60" w:type="dxa"/>
              <w:left w:w="100" w:type="dxa"/>
              <w:right w:w="100" w:type="dxa"/>
            </w:tcMar>
          </w:tcPr>
          <w:p>
            <w:pPr>
              <w:jc w:val="center"/>
            </w:pPr>
            <w:r>
              <w:rPr>
                <w:rFonts w:ascii="Times New Roman" w:hAnsi="Times New Roman"/>
                <w:sz w:val="16"/>
              </w:rPr>
              <w:t>0.00734</w:t>
            </w:r>
          </w:p>
        </w:tc>
        <w:tc>
          <w:tcPr>
            <w:tcW w:type="dxa" w:w="1805"/>
            <w:tcMar>
              <w:top w:w="60" w:type="dxa"/>
              <w:bottom w:w="60" w:type="dxa"/>
              <w:left w:w="100" w:type="dxa"/>
              <w:right w:w="100" w:type="dxa"/>
            </w:tcMar>
          </w:tcPr>
          <w:p>
            <w:pPr>
              <w:jc w:val="center"/>
            </w:pPr>
            <w:r>
              <w:rPr>
                <w:rFonts w:ascii="Times New Roman" w:hAnsi="Times New Roman"/>
                <w:sz w:val="16"/>
              </w:rPr>
              <w:t>95.77</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2,236,278.50</w:t>
            </w:r>
          </w:p>
        </w:tc>
        <w:tc>
          <w:tcPr>
            <w:tcW w:type="dxa" w:w="1805"/>
            <w:tcMar>
              <w:top w:w="60" w:type="dxa"/>
              <w:bottom w:w="60" w:type="dxa"/>
              <w:left w:w="100" w:type="dxa"/>
              <w:right w:w="100" w:type="dxa"/>
            </w:tcMar>
          </w:tcPr>
          <w:p>
            <w:pPr>
              <w:jc w:val="center"/>
            </w:pPr>
            <w:r>
              <w:rPr>
                <w:rFonts w:ascii="Times New Roman" w:hAnsi="Times New Roman"/>
                <w:sz w:val="16"/>
              </w:rPr>
              <w:t>0.00040</w:t>
            </w:r>
          </w:p>
        </w:tc>
        <w:tc>
          <w:tcPr>
            <w:tcW w:type="dxa" w:w="1805"/>
            <w:tcMar>
              <w:top w:w="60" w:type="dxa"/>
              <w:bottom w:w="60" w:type="dxa"/>
              <w:left w:w="100" w:type="dxa"/>
              <w:right w:w="100" w:type="dxa"/>
            </w:tcMar>
          </w:tcPr>
          <w:p>
            <w:pPr>
              <w:jc w:val="center"/>
            </w:pPr>
            <w:r>
              <w:rPr>
                <w:rFonts w:ascii="Times New Roman" w:hAnsi="Times New Roman"/>
                <w:sz w:val="16"/>
              </w:rPr>
              <w:t>18.22</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2,220,653.00</w:t>
            </w:r>
          </w:p>
        </w:tc>
        <w:tc>
          <w:tcPr>
            <w:tcW w:type="dxa" w:w="1805"/>
            <w:tcMar>
              <w:top w:w="60" w:type="dxa"/>
              <w:bottom w:w="60" w:type="dxa"/>
              <w:left w:w="100" w:type="dxa"/>
              <w:right w:w="100" w:type="dxa"/>
            </w:tcMar>
          </w:tcPr>
          <w:p>
            <w:pPr>
              <w:jc w:val="center"/>
            </w:pPr>
            <w:r>
              <w:rPr>
                <w:rFonts w:ascii="Times New Roman" w:hAnsi="Times New Roman"/>
                <w:sz w:val="16"/>
              </w:rPr>
              <w:t>0.00050</w:t>
            </w:r>
          </w:p>
        </w:tc>
        <w:tc>
          <w:tcPr>
            <w:tcW w:type="dxa" w:w="1805"/>
            <w:tcMar>
              <w:top w:w="60" w:type="dxa"/>
              <w:bottom w:w="60" w:type="dxa"/>
              <w:left w:w="100" w:type="dxa"/>
              <w:right w:w="100" w:type="dxa"/>
            </w:tcMar>
          </w:tcPr>
          <w:p>
            <w:pPr>
              <w:jc w:val="center"/>
            </w:pPr>
            <w:r>
              <w:rPr>
                <w:rFonts w:ascii="Times New Roman" w:hAnsi="Times New Roman"/>
                <w:sz w:val="16"/>
              </w:rPr>
              <w:t>28.71</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1,421,671.20</w:t>
            </w:r>
          </w:p>
        </w:tc>
        <w:tc>
          <w:tcPr>
            <w:tcW w:type="dxa" w:w="1805"/>
            <w:tcMar>
              <w:top w:w="60" w:type="dxa"/>
              <w:bottom w:w="60" w:type="dxa"/>
              <w:left w:w="100" w:type="dxa"/>
              <w:right w:w="100" w:type="dxa"/>
            </w:tcMar>
          </w:tcPr>
          <w:p>
            <w:pPr>
              <w:jc w:val="center"/>
            </w:pPr>
            <w:r>
              <w:rPr>
                <w:rFonts w:ascii="Times New Roman" w:hAnsi="Times New Roman"/>
                <w:sz w:val="16"/>
              </w:rPr>
              <w:t>0.00070</w:t>
            </w:r>
          </w:p>
        </w:tc>
        <w:tc>
          <w:tcPr>
            <w:tcW w:type="dxa" w:w="1805"/>
            <w:tcMar>
              <w:top w:w="60" w:type="dxa"/>
              <w:bottom w:w="60" w:type="dxa"/>
              <w:left w:w="100" w:type="dxa"/>
              <w:right w:w="100" w:type="dxa"/>
            </w:tcMar>
          </w:tcPr>
          <w:p>
            <w:pPr>
              <w:jc w:val="center"/>
            </w:pPr>
            <w:r>
              <w:rPr>
                <w:rFonts w:ascii="Times New Roman" w:hAnsi="Times New Roman"/>
                <w:sz w:val="16"/>
              </w:rPr>
              <w:t>33.89</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605,635.40</w:t>
            </w:r>
          </w:p>
        </w:tc>
        <w:tc>
          <w:tcPr>
            <w:tcW w:type="dxa" w:w="1805"/>
            <w:tcMar>
              <w:top w:w="60" w:type="dxa"/>
              <w:bottom w:w="60" w:type="dxa"/>
              <w:left w:w="100" w:type="dxa"/>
              <w:right w:w="100" w:type="dxa"/>
            </w:tcMar>
          </w:tcPr>
          <w:p>
            <w:pPr>
              <w:jc w:val="center"/>
            </w:pPr>
            <w:r>
              <w:rPr>
                <w:rFonts w:ascii="Times New Roman" w:hAnsi="Times New Roman"/>
                <w:sz w:val="16"/>
              </w:rPr>
              <w:t>0.00170</w:t>
            </w:r>
          </w:p>
        </w:tc>
        <w:tc>
          <w:tcPr>
            <w:tcW w:type="dxa" w:w="1805"/>
            <w:tcMar>
              <w:top w:w="60" w:type="dxa"/>
              <w:bottom w:w="60" w:type="dxa"/>
              <w:left w:w="100" w:type="dxa"/>
              <w:right w:w="100" w:type="dxa"/>
            </w:tcMar>
          </w:tcPr>
          <w:p>
            <w:pPr>
              <w:jc w:val="center"/>
            </w:pPr>
            <w:r>
              <w:rPr>
                <w:rFonts w:ascii="Times New Roman" w:hAnsi="Times New Roman"/>
                <w:sz w:val="16"/>
              </w:rPr>
              <w:t>29.92</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302,484.60</w:t>
            </w:r>
          </w:p>
        </w:tc>
        <w:tc>
          <w:tcPr>
            <w:tcW w:type="dxa" w:w="1805"/>
            <w:tcMar>
              <w:top w:w="60" w:type="dxa"/>
              <w:bottom w:w="60" w:type="dxa"/>
              <w:left w:w="100" w:type="dxa"/>
              <w:right w:w="100" w:type="dxa"/>
            </w:tcMar>
          </w:tcPr>
          <w:p>
            <w:pPr>
              <w:jc w:val="center"/>
            </w:pPr>
            <w:r>
              <w:rPr>
                <w:rFonts w:ascii="Times New Roman" w:hAnsi="Times New Roman"/>
                <w:sz w:val="16"/>
              </w:rPr>
              <w:t>0.00330</w:t>
            </w:r>
          </w:p>
        </w:tc>
        <w:tc>
          <w:tcPr>
            <w:tcW w:type="dxa" w:w="1805"/>
            <w:tcMar>
              <w:top w:w="60" w:type="dxa"/>
              <w:bottom w:w="60" w:type="dxa"/>
              <w:left w:w="100" w:type="dxa"/>
              <w:right w:w="100" w:type="dxa"/>
            </w:tcMar>
          </w:tcPr>
          <w:p>
            <w:pPr>
              <w:jc w:val="center"/>
            </w:pPr>
            <w:r>
              <w:rPr>
                <w:rFonts w:ascii="Times New Roman" w:hAnsi="Times New Roman"/>
                <w:sz w:val="16"/>
              </w:rPr>
              <w:t>43.15</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1,516,190.38</w:t>
            </w:r>
          </w:p>
        </w:tc>
        <w:tc>
          <w:tcPr>
            <w:tcW w:type="dxa" w:w="1805"/>
            <w:tcMar>
              <w:top w:w="60" w:type="dxa"/>
              <w:bottom w:w="60" w:type="dxa"/>
              <w:left w:w="100" w:type="dxa"/>
              <w:right w:w="100" w:type="dxa"/>
            </w:tcMar>
          </w:tcPr>
          <w:p>
            <w:pPr>
              <w:jc w:val="center"/>
            </w:pPr>
            <w:r>
              <w:rPr>
                <w:rFonts w:ascii="Times New Roman" w:hAnsi="Times New Roman"/>
                <w:sz w:val="16"/>
              </w:rPr>
              <w:t>0.00069</w:t>
            </w:r>
          </w:p>
        </w:tc>
        <w:tc>
          <w:tcPr>
            <w:tcW w:type="dxa" w:w="1805"/>
            <w:tcMar>
              <w:top w:w="60" w:type="dxa"/>
              <w:bottom w:w="60" w:type="dxa"/>
              <w:left w:w="100" w:type="dxa"/>
              <w:right w:w="100" w:type="dxa"/>
            </w:tcMar>
          </w:tcPr>
          <w:p>
            <w:pPr>
              <w:jc w:val="center"/>
            </w:pPr>
            <w:r>
              <w:rPr>
                <w:rFonts w:ascii="Times New Roman" w:hAnsi="Times New Roman"/>
                <w:sz w:val="16"/>
              </w:rPr>
              <w:t>18.82</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1,324,794.56</w:t>
            </w:r>
          </w:p>
        </w:tc>
        <w:tc>
          <w:tcPr>
            <w:tcW w:type="dxa" w:w="1805"/>
            <w:tcMar>
              <w:top w:w="60" w:type="dxa"/>
              <w:bottom w:w="60" w:type="dxa"/>
              <w:left w:w="100" w:type="dxa"/>
              <w:right w:w="100" w:type="dxa"/>
            </w:tcMar>
          </w:tcPr>
          <w:p>
            <w:pPr>
              <w:jc w:val="center"/>
            </w:pPr>
            <w:r>
              <w:rPr>
                <w:rFonts w:ascii="Times New Roman" w:hAnsi="Times New Roman"/>
                <w:sz w:val="16"/>
              </w:rPr>
              <w:t>0.00079</w:t>
            </w:r>
          </w:p>
        </w:tc>
        <w:tc>
          <w:tcPr>
            <w:tcW w:type="dxa" w:w="1805"/>
            <w:tcMar>
              <w:top w:w="60" w:type="dxa"/>
              <w:bottom w:w="60" w:type="dxa"/>
              <w:left w:w="100" w:type="dxa"/>
              <w:right w:w="100" w:type="dxa"/>
            </w:tcMar>
          </w:tcPr>
          <w:p>
            <w:pPr>
              <w:jc w:val="center"/>
            </w:pPr>
            <w:r>
              <w:rPr>
                <w:rFonts w:ascii="Times New Roman" w:hAnsi="Times New Roman"/>
                <w:sz w:val="16"/>
              </w:rPr>
              <w:t>29.01</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833,054.68</w:t>
            </w:r>
          </w:p>
        </w:tc>
        <w:tc>
          <w:tcPr>
            <w:tcW w:type="dxa" w:w="1805"/>
            <w:tcMar>
              <w:top w:w="60" w:type="dxa"/>
              <w:bottom w:w="60" w:type="dxa"/>
              <w:left w:w="100" w:type="dxa"/>
              <w:right w:w="100" w:type="dxa"/>
            </w:tcMar>
          </w:tcPr>
          <w:p>
            <w:pPr>
              <w:jc w:val="center"/>
            </w:pPr>
            <w:r>
              <w:rPr>
                <w:rFonts w:ascii="Times New Roman" w:hAnsi="Times New Roman"/>
                <w:sz w:val="16"/>
              </w:rPr>
              <w:t>0.00125</w:t>
            </w:r>
          </w:p>
        </w:tc>
        <w:tc>
          <w:tcPr>
            <w:tcW w:type="dxa" w:w="1805"/>
            <w:tcMar>
              <w:top w:w="60" w:type="dxa"/>
              <w:bottom w:w="60" w:type="dxa"/>
              <w:left w:w="100" w:type="dxa"/>
              <w:right w:w="100" w:type="dxa"/>
            </w:tcMar>
          </w:tcPr>
          <w:p>
            <w:pPr>
              <w:jc w:val="center"/>
            </w:pPr>
            <w:r>
              <w:rPr>
                <w:rFonts w:ascii="Times New Roman" w:hAnsi="Times New Roman"/>
                <w:sz w:val="16"/>
              </w:rPr>
              <w:t>38.06</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504,151.26</w:t>
            </w:r>
          </w:p>
        </w:tc>
        <w:tc>
          <w:tcPr>
            <w:tcW w:type="dxa" w:w="1805"/>
            <w:tcMar>
              <w:top w:w="60" w:type="dxa"/>
              <w:bottom w:w="60" w:type="dxa"/>
              <w:left w:w="100" w:type="dxa"/>
              <w:right w:w="100" w:type="dxa"/>
            </w:tcMar>
          </w:tcPr>
          <w:p>
            <w:pPr>
              <w:jc w:val="center"/>
            </w:pPr>
            <w:r>
              <w:rPr>
                <w:rFonts w:ascii="Times New Roman" w:hAnsi="Times New Roman"/>
                <w:sz w:val="16"/>
              </w:rPr>
              <w:t>0.00200</w:t>
            </w:r>
          </w:p>
        </w:tc>
        <w:tc>
          <w:tcPr>
            <w:tcW w:type="dxa" w:w="1805"/>
            <w:tcMar>
              <w:top w:w="60" w:type="dxa"/>
              <w:bottom w:w="60" w:type="dxa"/>
              <w:left w:w="100" w:type="dxa"/>
              <w:right w:w="100" w:type="dxa"/>
            </w:tcMar>
          </w:tcPr>
          <w:p>
            <w:pPr>
              <w:jc w:val="center"/>
            </w:pPr>
            <w:r>
              <w:rPr>
                <w:rFonts w:ascii="Times New Roman" w:hAnsi="Times New Roman"/>
                <w:sz w:val="16"/>
              </w:rPr>
              <w:t>32.90</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136,170.25</w:t>
            </w:r>
          </w:p>
        </w:tc>
        <w:tc>
          <w:tcPr>
            <w:tcW w:type="dxa" w:w="1805"/>
            <w:tcMar>
              <w:top w:w="60" w:type="dxa"/>
              <w:bottom w:w="60" w:type="dxa"/>
              <w:left w:w="100" w:type="dxa"/>
              <w:right w:w="100" w:type="dxa"/>
            </w:tcMar>
          </w:tcPr>
          <w:p>
            <w:pPr>
              <w:jc w:val="center"/>
            </w:pPr>
            <w:r>
              <w:rPr>
                <w:rFonts w:ascii="Times New Roman" w:hAnsi="Times New Roman"/>
                <w:sz w:val="16"/>
              </w:rPr>
              <w:t>0.00835</w:t>
            </w:r>
          </w:p>
        </w:tc>
        <w:tc>
          <w:tcPr>
            <w:tcW w:type="dxa" w:w="1805"/>
            <w:tcMar>
              <w:top w:w="60" w:type="dxa"/>
              <w:bottom w:w="60" w:type="dxa"/>
              <w:left w:w="100" w:type="dxa"/>
              <w:right w:w="100" w:type="dxa"/>
            </w:tcMar>
          </w:tcPr>
          <w:p>
            <w:pPr>
              <w:jc w:val="center"/>
            </w:pPr>
            <w:r>
              <w:rPr>
                <w:rFonts w:ascii="Times New Roman" w:hAnsi="Times New Roman"/>
                <w:sz w:val="16"/>
              </w:rPr>
              <w:t>108.93</w:t>
            </w:r>
          </w:p>
        </w:tc>
      </w:tr>
    </w:tbl>
    <w:p>
      <w:pPr>
        <w:spacing w:before="0" w:after="120"/>
      </w:pPr>
    </w:p>
    <w:p>
      <w:pPr>
        <w:spacing w:before="160" w:after="40"/>
        <w:jc w:val="center"/>
      </w:pPr>
      <w:r>
        <w:drawing>
          <wp:inline xmlns:a="http://schemas.openxmlformats.org/drawingml/2006/main" xmlns:pic="http://schemas.openxmlformats.org/drawingml/2006/picture">
            <wp:extent cx="5303520" cy="3638319"/>
            <wp:docPr id="5" name="Picture 5"/>
            <wp:cNvGraphicFramePr>
              <a:graphicFrameLocks noChangeAspect="1"/>
            </wp:cNvGraphicFramePr>
            <a:graphic>
              <a:graphicData uri="http://schemas.openxmlformats.org/drawingml/2006/picture">
                <pic:pic>
                  <pic:nvPicPr>
                    <pic:cNvPr id="0" name="fig03_phase2_track_b_throughput_vram_scaling.png"/>
                    <pic:cNvPicPr/>
                  </pic:nvPicPr>
                  <pic:blipFill>
                    <a:blip r:embed="rId23"/>
                    <a:stretch>
                      <a:fillRect/>
                    </a:stretch>
                  </pic:blipFill>
                  <pic:spPr>
                    <a:xfrm>
                      <a:off x="0" y="0"/>
                      <a:ext cx="5303520" cy="3638319"/>
                    </a:xfrm>
                    <a:prstGeom prst="rect"/>
                  </pic:spPr>
                </pic:pic>
              </a:graphicData>
            </a:graphic>
          </wp:inline>
        </w:drawing>
      </w:r>
    </w:p>
    <w:p>
      <w:pPr>
        <w:spacing w:before="40" w:after="160"/>
        <w:jc w:val="center"/>
      </w:pPr>
      <w:r>
        <w:rPr>
          <w:rFonts w:ascii="Times New Roman" w:hAnsi="Times New Roman"/>
          <w:i/>
          <w:sz w:val="16"/>
        </w:rPr>
        <w:t>Fig 3. Streaming Throughput (flows/sec) and Dynamic Peak VRAM (MB) across expanding sample volumes.</w:t>
      </w:r>
    </w:p>
    <w:p>
      <w:pPr>
        <w:pStyle w:val="IJASEITParagraph"/>
        <w:spacing w:line="252" w:lineRule="auto" w:after="80"/>
        <w:jc w:val="both"/>
      </w:pPr>
      <w:r>
        <w:rPr>
          <w:rFonts w:ascii="Times New Roman" w:hAnsi="Times New Roman"/>
          <w:sz w:val="20"/>
        </w:rPr>
        <w:t>Mambular SSM sustains over 2,220,000 flows/sec at N = 190,474, achieving sub-microsecond latency (0.00050 ms). By executing linear-time associative scans in GPU SRAM, Mambular eliminates the sequential bottleneck of recurrent networks and matches compiled tree speeds. Conversely, XGBoost throughput drops from 1,421,671 flows/s at N = 190k to 833,054 flows/s at N = 250k due to CPU cache saturation and memory bus contention. FT-Transformer remains restricted below 302,500 flows/s while VRAM expands to 108.93 MB, confirming the quadratic overhead of pairwise attention.</w:t>
      </w:r>
    </w:p>
    <w:p>
      <w:pPr>
        <w:pStyle w:val="IJASEITHeading2"/>
        <w:spacing w:before="160" w:after="60"/>
      </w:pPr>
      <w:r>
        <w:rPr>
          <w:rFonts w:ascii="Times New Roman" w:hAnsi="Times New Roman"/>
          <w:b/>
          <w:sz w:val="22"/>
        </w:rPr>
        <w:t>3.3. Non-Parametric Statistical Significance (Demšar Testing)</w:t>
      </w:r>
    </w:p>
    <w:p>
      <w:pPr>
        <w:pStyle w:val="IJASEITParagraph"/>
        <w:spacing w:line="252" w:lineRule="auto" w:after="80"/>
        <w:jc w:val="both"/>
      </w:pPr>
      <w:r>
        <w:rPr>
          <w:rFonts w:ascii="Times New Roman" w:hAnsi="Times New Roman"/>
          <w:sz w:val="20"/>
        </w:rPr>
        <w:t>The Friedman test yields chi-square = 29.6667 (p = 1.0930e-4), rejecting equivalence. The Iman-Davenport correction confirms statistical significance (F = 22.2500, p = 7.3322e-10). The Nemenyi Critical Difference at alpha = 0.05 is CD = 4.6956. The resulting average ranks are: (1) LightGBM: 1.6, (2) XGBoost: 1.8, (3) TabPFN v3: 2.8, (4) FT-Transformer: 4.6, (5) Mambular SSM: 5.4, (6) TabICL v2: 5.8, (7) SAINT: 6.0, (8) GraphIDS: 8.0.</w:t>
      </w:r>
    </w:p>
    <w:p>
      <w:pPr>
        <w:spacing w:before="160" w:after="40"/>
        <w:jc w:val="center"/>
      </w:pPr>
      <w:r>
        <w:drawing>
          <wp:inline xmlns:a="http://schemas.openxmlformats.org/drawingml/2006/main" xmlns:pic="http://schemas.openxmlformats.org/drawingml/2006/picture">
            <wp:extent cx="5303520" cy="2093542"/>
            <wp:docPr id="6" name="Picture 6"/>
            <wp:cNvGraphicFramePr>
              <a:graphicFrameLocks noChangeAspect="1"/>
            </wp:cNvGraphicFramePr>
            <a:graphic>
              <a:graphicData uri="http://schemas.openxmlformats.org/drawingml/2006/picture">
                <pic:pic>
                  <pic:nvPicPr>
                    <pic:cNvPr id="0" name="fig04a_phase3_nemenyi_critical_difference.png"/>
                    <pic:cNvPicPr/>
                  </pic:nvPicPr>
                  <pic:blipFill>
                    <a:blip r:embed="rId24"/>
                    <a:stretch>
                      <a:fillRect/>
                    </a:stretch>
                  </pic:blipFill>
                  <pic:spPr>
                    <a:xfrm>
                      <a:off x="0" y="0"/>
                      <a:ext cx="5303520" cy="2093542"/>
                    </a:xfrm>
                    <a:prstGeom prst="rect"/>
                  </pic:spPr>
                </pic:pic>
              </a:graphicData>
            </a:graphic>
          </wp:inline>
        </w:drawing>
      </w:r>
    </w:p>
    <w:p>
      <w:pPr>
        <w:spacing w:before="40" w:after="160"/>
        <w:jc w:val="center"/>
      </w:pPr>
      <w:r>
        <w:rPr>
          <w:rFonts w:ascii="Times New Roman" w:hAnsi="Times New Roman"/>
          <w:i/>
          <w:sz w:val="16"/>
        </w:rPr>
        <w:t>Fig 4. Demšar Nemenyi Critical Difference rank diagram (alpha = 0.05, CD = 4.6956).</w:t>
      </w:r>
    </w:p>
    <w:p>
      <w:pPr>
        <w:pStyle w:val="IJASEITParagraph"/>
        <w:spacing w:line="252" w:lineRule="auto" w:after="80"/>
        <w:jc w:val="both"/>
      </w:pPr>
      <w:r>
        <w:rPr>
          <w:rFonts w:ascii="Times New Roman" w:hAnsi="Times New Roman"/>
          <w:sz w:val="20"/>
        </w:rPr>
        <w:t>The analysis establishes two conclusions: First, the top four architectures (LightGBM, XGBoost, TabPFN v3, and FT-Transformer) fall within the Critical Difference boundary (|1.6 - 4.6| = 3.0 &lt; 4.6956), demonstrating statistical equivalence. Second, GraphIDS (rank 8.0) differs significantly from tree baselines (|1.6 - 8.0| = 6.4 &gt; 4.6956), revealing structural vulnerability on sparse network graphs.</w:t>
      </w:r>
    </w:p>
    <w:p>
      <w:pPr>
        <w:pStyle w:val="IJASEITHeading2"/>
        <w:spacing w:before="160" w:after="60"/>
      </w:pPr>
      <w:r>
        <w:rPr>
          <w:rFonts w:ascii="Times New Roman" w:hAnsi="Times New Roman"/>
          <w:b/>
          <w:sz w:val="22"/>
        </w:rPr>
        <w:t>3.4. Parametric Ablation and Noise Perturbation Robustness</w:t>
      </w:r>
    </w:p>
    <w:p>
      <w:pPr>
        <w:pStyle w:val="IJASEITParagraph"/>
        <w:spacing w:line="252" w:lineRule="auto" w:after="80"/>
        <w:jc w:val="both"/>
      </w:pPr>
      <w:r>
        <w:rPr>
          <w:rFonts w:ascii="Times New Roman" w:hAnsi="Times New Roman"/>
          <w:sz w:val="20"/>
        </w:rPr>
        <w:t>A full-factorial grid search over FT-Transformer configurations reveals an overparameterization cliff on tabular data (Fig. 5). Expanding embedding dimension from d_token = 32 (F1 = 0.4955) to d_token = 64 with 4 heads and 4 blocks causes performance to collapse to F1 = 0.0178. Tabular coordinates lack spatial stationarity; excessive capacity induces uniform gradient dispersion across uninformative features.</w:t>
      </w:r>
    </w:p>
    <w:p>
      <w:pPr>
        <w:spacing w:before="160" w:after="40"/>
        <w:jc w:val="center"/>
      </w:pPr>
      <w:r>
        <w:drawing>
          <wp:inline xmlns:a="http://schemas.openxmlformats.org/drawingml/2006/main" xmlns:pic="http://schemas.openxmlformats.org/drawingml/2006/picture">
            <wp:extent cx="5303520" cy="2706019"/>
            <wp:docPr id="7" name="Picture 7"/>
            <wp:cNvGraphicFramePr>
              <a:graphicFrameLocks noChangeAspect="1"/>
            </wp:cNvGraphicFramePr>
            <a:graphic>
              <a:graphicData uri="http://schemas.openxmlformats.org/drawingml/2006/picture">
                <pic:pic>
                  <pic:nvPicPr>
                    <pic:cNvPr id="0" name="fig04b_phase3_ft_transformer_ablation_heatmap.png"/>
                    <pic:cNvPicPr/>
                  </pic:nvPicPr>
                  <pic:blipFill>
                    <a:blip r:embed="rId25"/>
                    <a:stretch>
                      <a:fillRect/>
                    </a:stretch>
                  </pic:blipFill>
                  <pic:spPr>
                    <a:xfrm>
                      <a:off x="0" y="0"/>
                      <a:ext cx="5303520" cy="2706019"/>
                    </a:xfrm>
                    <a:prstGeom prst="rect"/>
                  </pic:spPr>
                </pic:pic>
              </a:graphicData>
            </a:graphic>
          </wp:inline>
        </w:drawing>
      </w:r>
    </w:p>
    <w:p>
      <w:pPr>
        <w:spacing w:before="40" w:after="160"/>
        <w:jc w:val="center"/>
      </w:pPr>
      <w:r>
        <w:rPr>
          <w:rFonts w:ascii="Times New Roman" w:hAnsi="Times New Roman"/>
          <w:i/>
          <w:sz w:val="16"/>
        </w:rPr>
        <w:t>Fig 5. FT-Transformer architectural ablation grid heatmap across token dimensions, head counts, and block depths.</w:t>
      </w:r>
    </w:p>
    <w:p>
      <w:pPr>
        <w:pStyle w:val="IJASEITParagraph"/>
        <w:spacing w:line="252" w:lineRule="auto" w:after="80"/>
        <w:jc w:val="both"/>
      </w:pPr>
      <w:r>
        <w:rPr>
          <w:rFonts w:ascii="Times New Roman" w:hAnsi="Times New Roman"/>
          <w:sz w:val="20"/>
        </w:rPr>
        <w:t>Under Gaussian feature corruption (sigma in {0.0, 0.05, 0.1, 0.2}), TabPFN v3 displays adaptive resilience (+55.1% relative gain, rising from 0.2152 to 0.3338), because synthetic priors regularize continuous coordinates. Conversely, XGBoost suffers degradation (retaining 67.3% of clean F1) due to brittle threshold cuts.</w:t>
      </w:r>
    </w:p>
    <w:p>
      <w:pPr>
        <w:pStyle w:val="IJASEITHeading2"/>
        <w:spacing w:before="160" w:after="60"/>
      </w:pPr>
      <w:r>
        <w:rPr>
          <w:rFonts w:ascii="Times New Roman" w:hAnsi="Times New Roman"/>
          <w:b/>
          <w:sz w:val="22"/>
        </w:rPr>
        <w:t>3.5. Causal Discovery and Triangulation</w:t>
      </w:r>
    </w:p>
    <w:p>
      <w:pPr>
        <w:pStyle w:val="IJASEITParagraph"/>
        <w:spacing w:line="252" w:lineRule="auto" w:after="80"/>
        <w:jc w:val="both"/>
      </w:pPr>
      <w:r>
        <w:rPr>
          <w:rFonts w:ascii="Times New Roman" w:hAnsi="Times New Roman"/>
          <w:sz w:val="20"/>
        </w:rPr>
        <w:t>Triangular Fuzzy DEMATEL evaluates the structural relationships across seven operational factors (Table 5). Across 10,000 Monte Carlo perturbation iterations, Kendall's concordance reaches W = 0.9716 &gt;= 0.95. DirectLiNGAM causal triangulation confirms identical topological ordering (SHD = 1 &lt;= 2). Model Architecture (F1) acts as the primary systemic cause (D-R = +1.4688), driving downstream latency (D-R = -0.7554), memory footprint (D-R = -0.7110), and detection efficacy.</w:t>
      </w:r>
    </w:p>
    <w:p>
      <w:pPr>
        <w:spacing w:before="160" w:after="60"/>
        <w:jc w:val="center"/>
      </w:pPr>
      <w:r>
        <w:rPr>
          <w:rFonts w:ascii="Times New Roman" w:hAnsi="Times New Roman"/>
          <w:b/>
          <w:sz w:val="18"/>
        </w:rPr>
        <w:t>Table 5. Fuzzy DEMATEL Causal Prominence and Relation Metrics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504"/>
        <w:gridCol w:w="1504"/>
        <w:gridCol w:w="1504"/>
        <w:gridCol w:w="1504"/>
        <w:gridCol w:w="1504"/>
        <w:gridCol w:w="1504"/>
      </w:tblGrid>
      <w:tr>
        <w:trPr>
          <w:tblHeader/>
        </w:trPr>
        <w:tc>
          <w:tcPr>
            <w:tcW w:type="dxa" w:w="1504"/>
            <w:tcMar>
              <w:top w:w="80" w:type="dxa"/>
              <w:bottom w:w="80" w:type="dxa"/>
              <w:left w:w="100" w:type="dxa"/>
              <w:right w:w="100" w:type="dxa"/>
            </w:tcMar>
          </w:tcPr>
          <w:p>
            <w:pPr>
              <w:jc w:val="center"/>
            </w:pPr>
            <w:r>
              <w:rPr>
                <w:rFonts w:ascii="Times New Roman" w:hAnsi="Times New Roman"/>
                <w:b/>
                <w:sz w:val="17"/>
              </w:rPr>
              <w:t>Factor Identifier</w:t>
            </w:r>
          </w:p>
        </w:tc>
        <w:tc>
          <w:tcPr>
            <w:tcW w:type="dxa" w:w="1504"/>
            <w:tcMar>
              <w:top w:w="80" w:type="dxa"/>
              <w:bottom w:w="80" w:type="dxa"/>
              <w:left w:w="100" w:type="dxa"/>
              <w:right w:w="100" w:type="dxa"/>
            </w:tcMar>
          </w:tcPr>
          <w:p>
            <w:pPr>
              <w:jc w:val="center"/>
            </w:pPr>
            <w:r>
              <w:rPr>
                <w:rFonts w:ascii="Times New Roman" w:hAnsi="Times New Roman"/>
                <w:b/>
                <w:sz w:val="17"/>
              </w:rPr>
              <w:t>Dispatched (D)</w:t>
            </w:r>
          </w:p>
        </w:tc>
        <w:tc>
          <w:tcPr>
            <w:tcW w:type="dxa" w:w="1504"/>
            <w:tcMar>
              <w:top w:w="80" w:type="dxa"/>
              <w:bottom w:w="80" w:type="dxa"/>
              <w:left w:w="100" w:type="dxa"/>
              <w:right w:w="100" w:type="dxa"/>
            </w:tcMar>
          </w:tcPr>
          <w:p>
            <w:pPr>
              <w:jc w:val="center"/>
            </w:pPr>
            <w:r>
              <w:rPr>
                <w:rFonts w:ascii="Times New Roman" w:hAnsi="Times New Roman"/>
                <w:b/>
                <w:sz w:val="17"/>
              </w:rPr>
              <w:t>Received (R)</w:t>
            </w:r>
          </w:p>
        </w:tc>
        <w:tc>
          <w:tcPr>
            <w:tcW w:type="dxa" w:w="1504"/>
            <w:tcMar>
              <w:top w:w="80" w:type="dxa"/>
              <w:bottom w:w="80" w:type="dxa"/>
              <w:left w:w="100" w:type="dxa"/>
              <w:right w:w="100" w:type="dxa"/>
            </w:tcMar>
          </w:tcPr>
          <w:p>
            <w:pPr>
              <w:jc w:val="center"/>
            </w:pPr>
            <w:r>
              <w:rPr>
                <w:rFonts w:ascii="Times New Roman" w:hAnsi="Times New Roman"/>
                <w:b/>
                <w:sz w:val="17"/>
              </w:rPr>
              <w:t>Prominence (D+R)</w:t>
            </w:r>
          </w:p>
        </w:tc>
        <w:tc>
          <w:tcPr>
            <w:tcW w:type="dxa" w:w="1504"/>
            <w:tcMar>
              <w:top w:w="80" w:type="dxa"/>
              <w:bottom w:w="80" w:type="dxa"/>
              <w:left w:w="100" w:type="dxa"/>
              <w:right w:w="100" w:type="dxa"/>
            </w:tcMar>
          </w:tcPr>
          <w:p>
            <w:pPr>
              <w:jc w:val="center"/>
            </w:pPr>
            <w:r>
              <w:rPr>
                <w:rFonts w:ascii="Times New Roman" w:hAnsi="Times New Roman"/>
                <w:b/>
                <w:sz w:val="17"/>
              </w:rPr>
              <w:t>Net Role (D-R)</w:t>
            </w:r>
          </w:p>
        </w:tc>
        <w:tc>
          <w:tcPr>
            <w:tcW w:type="dxa" w:w="1504"/>
            <w:tcMar>
              <w:top w:w="80" w:type="dxa"/>
              <w:bottom w:w="80" w:type="dxa"/>
              <w:left w:w="100" w:type="dxa"/>
              <w:right w:w="100" w:type="dxa"/>
            </w:tcMar>
          </w:tcPr>
          <w:p>
            <w:pPr>
              <w:jc w:val="center"/>
            </w:pPr>
            <w:r>
              <w:rPr>
                <w:rFonts w:ascii="Times New Roman" w:hAnsi="Times New Roman"/>
                <w:b/>
                <w:sz w:val="17"/>
              </w:rPr>
              <w:t>Classification</w:t>
            </w:r>
          </w:p>
        </w:tc>
      </w:tr>
      <w:tr>
        <w:tc>
          <w:tcPr>
            <w:tcW w:type="dxa" w:w="1504"/>
            <w:tcMar>
              <w:top w:w="60" w:type="dxa"/>
              <w:bottom w:w="60" w:type="dxa"/>
              <w:left w:w="100" w:type="dxa"/>
              <w:right w:w="100" w:type="dxa"/>
            </w:tcMar>
          </w:tcPr>
          <w:p>
            <w:pPr>
              <w:jc w:val="left"/>
            </w:pPr>
            <w:r>
              <w:rPr>
                <w:rFonts w:ascii="Times New Roman" w:hAnsi="Times New Roman"/>
                <w:sz w:val="16"/>
              </w:rPr>
              <w:t>F1: Model Architecture</w:t>
            </w:r>
          </w:p>
        </w:tc>
        <w:tc>
          <w:tcPr>
            <w:tcW w:type="dxa" w:w="1504"/>
            <w:tcMar>
              <w:top w:w="60" w:type="dxa"/>
              <w:bottom w:w="60" w:type="dxa"/>
              <w:left w:w="100" w:type="dxa"/>
              <w:right w:w="100" w:type="dxa"/>
            </w:tcMar>
          </w:tcPr>
          <w:p>
            <w:pPr>
              <w:jc w:val="center"/>
            </w:pPr>
            <w:r>
              <w:rPr>
                <w:rFonts w:ascii="Times New Roman" w:hAnsi="Times New Roman"/>
                <w:sz w:val="16"/>
              </w:rPr>
              <w:t>1.4688</w:t>
            </w:r>
          </w:p>
        </w:tc>
        <w:tc>
          <w:tcPr>
            <w:tcW w:type="dxa" w:w="1504"/>
            <w:tcMar>
              <w:top w:w="60" w:type="dxa"/>
              <w:bottom w:w="60" w:type="dxa"/>
              <w:left w:w="100" w:type="dxa"/>
              <w:right w:w="100" w:type="dxa"/>
            </w:tcMar>
          </w:tcPr>
          <w:p>
            <w:pPr>
              <w:jc w:val="center"/>
            </w:pPr>
            <w:r>
              <w:rPr>
                <w:rFonts w:ascii="Times New Roman" w:hAnsi="Times New Roman"/>
                <w:sz w:val="16"/>
              </w:rPr>
              <w:t>0.0000</w:t>
            </w:r>
          </w:p>
        </w:tc>
        <w:tc>
          <w:tcPr>
            <w:tcW w:type="dxa" w:w="1504"/>
            <w:tcMar>
              <w:top w:w="60" w:type="dxa"/>
              <w:bottom w:w="60" w:type="dxa"/>
              <w:left w:w="100" w:type="dxa"/>
              <w:right w:w="100" w:type="dxa"/>
            </w:tcMar>
          </w:tcPr>
          <w:p>
            <w:pPr>
              <w:jc w:val="center"/>
            </w:pPr>
            <w:r>
              <w:rPr>
                <w:rFonts w:ascii="Times New Roman" w:hAnsi="Times New Roman"/>
                <w:sz w:val="16"/>
              </w:rPr>
              <w:t>1.4688</w:t>
            </w:r>
          </w:p>
        </w:tc>
        <w:tc>
          <w:tcPr>
            <w:tcW w:type="dxa" w:w="1504"/>
            <w:tcMar>
              <w:top w:w="60" w:type="dxa"/>
              <w:bottom w:w="60" w:type="dxa"/>
              <w:left w:w="100" w:type="dxa"/>
              <w:right w:w="100" w:type="dxa"/>
            </w:tcMar>
          </w:tcPr>
          <w:p>
            <w:pPr>
              <w:jc w:val="center"/>
            </w:pPr>
            <w:r>
              <w:rPr>
                <w:rFonts w:ascii="Times New Roman" w:hAnsi="Times New Roman"/>
                <w:sz w:val="16"/>
              </w:rPr>
              <w:t>+1.4688</w:t>
            </w:r>
          </w:p>
        </w:tc>
        <w:tc>
          <w:tcPr>
            <w:tcW w:type="dxa" w:w="1504"/>
            <w:tcMar>
              <w:top w:w="60" w:type="dxa"/>
              <w:bottom w:w="60" w:type="dxa"/>
              <w:left w:w="100" w:type="dxa"/>
              <w:right w:w="100" w:type="dxa"/>
            </w:tcMar>
          </w:tcPr>
          <w:p>
            <w:pPr>
              <w:jc w:val="center"/>
            </w:pPr>
            <w:r>
              <w:rPr>
                <w:rFonts w:ascii="Times New Roman" w:hAnsi="Times New Roman"/>
                <w:sz w:val="16"/>
              </w:rPr>
              <w:t>Core System Cause</w:t>
            </w:r>
          </w:p>
        </w:tc>
      </w:tr>
      <w:tr>
        <w:tc>
          <w:tcPr>
            <w:tcW w:type="dxa" w:w="1504"/>
            <w:tcMar>
              <w:top w:w="60" w:type="dxa"/>
              <w:bottom w:w="60" w:type="dxa"/>
              <w:left w:w="100" w:type="dxa"/>
              <w:right w:w="100" w:type="dxa"/>
            </w:tcMar>
          </w:tcPr>
          <w:p>
            <w:pPr>
              <w:jc w:val="left"/>
            </w:pPr>
            <w:r>
              <w:rPr>
                <w:rFonts w:ascii="Times New Roman" w:hAnsi="Times New Roman"/>
                <w:sz w:val="16"/>
              </w:rPr>
              <w:t>F2: Sample Scale (N)</w:t>
            </w:r>
          </w:p>
        </w:tc>
        <w:tc>
          <w:tcPr>
            <w:tcW w:type="dxa" w:w="1504"/>
            <w:tcMar>
              <w:top w:w="60" w:type="dxa"/>
              <w:bottom w:w="60" w:type="dxa"/>
              <w:left w:w="100" w:type="dxa"/>
              <w:right w:w="100" w:type="dxa"/>
            </w:tcMar>
          </w:tcPr>
          <w:p>
            <w:pPr>
              <w:jc w:val="center"/>
            </w:pPr>
            <w:r>
              <w:rPr>
                <w:rFonts w:ascii="Times New Roman" w:hAnsi="Times New Roman"/>
                <w:sz w:val="16"/>
              </w:rPr>
              <w:t>1.0214</w:t>
            </w:r>
          </w:p>
        </w:tc>
        <w:tc>
          <w:tcPr>
            <w:tcW w:type="dxa" w:w="1504"/>
            <w:tcMar>
              <w:top w:w="60" w:type="dxa"/>
              <w:bottom w:w="60" w:type="dxa"/>
              <w:left w:w="100" w:type="dxa"/>
              <w:right w:w="100" w:type="dxa"/>
            </w:tcMar>
          </w:tcPr>
          <w:p>
            <w:pPr>
              <w:jc w:val="center"/>
            </w:pPr>
            <w:r>
              <w:rPr>
                <w:rFonts w:ascii="Times New Roman" w:hAnsi="Times New Roman"/>
                <w:sz w:val="16"/>
              </w:rPr>
              <w:t>0.1450</w:t>
            </w:r>
          </w:p>
        </w:tc>
        <w:tc>
          <w:tcPr>
            <w:tcW w:type="dxa" w:w="1504"/>
            <w:tcMar>
              <w:top w:w="60" w:type="dxa"/>
              <w:bottom w:w="60" w:type="dxa"/>
              <w:left w:w="100" w:type="dxa"/>
              <w:right w:w="100" w:type="dxa"/>
            </w:tcMar>
          </w:tcPr>
          <w:p>
            <w:pPr>
              <w:jc w:val="center"/>
            </w:pPr>
            <w:r>
              <w:rPr>
                <w:rFonts w:ascii="Times New Roman" w:hAnsi="Times New Roman"/>
                <w:sz w:val="16"/>
              </w:rPr>
              <w:t>1.1664</w:t>
            </w:r>
          </w:p>
        </w:tc>
        <w:tc>
          <w:tcPr>
            <w:tcW w:type="dxa" w:w="1504"/>
            <w:tcMar>
              <w:top w:w="60" w:type="dxa"/>
              <w:bottom w:w="60" w:type="dxa"/>
              <w:left w:w="100" w:type="dxa"/>
              <w:right w:w="100" w:type="dxa"/>
            </w:tcMar>
          </w:tcPr>
          <w:p>
            <w:pPr>
              <w:jc w:val="center"/>
            </w:pPr>
            <w:r>
              <w:rPr>
                <w:rFonts w:ascii="Times New Roman" w:hAnsi="Times New Roman"/>
                <w:sz w:val="16"/>
              </w:rPr>
              <w:t>+0.8764</w:t>
            </w:r>
          </w:p>
        </w:tc>
        <w:tc>
          <w:tcPr>
            <w:tcW w:type="dxa" w:w="1504"/>
            <w:tcMar>
              <w:top w:w="60" w:type="dxa"/>
              <w:bottom w:w="60" w:type="dxa"/>
              <w:left w:w="100" w:type="dxa"/>
              <w:right w:w="100" w:type="dxa"/>
            </w:tcMar>
          </w:tcPr>
          <w:p>
            <w:pPr>
              <w:jc w:val="center"/>
            </w:pPr>
            <w:r>
              <w:rPr>
                <w:rFonts w:ascii="Times New Roman" w:hAnsi="Times New Roman"/>
                <w:sz w:val="16"/>
              </w:rPr>
              <w:t>Supporting Cause</w:t>
            </w:r>
          </w:p>
        </w:tc>
      </w:tr>
      <w:tr>
        <w:tc>
          <w:tcPr>
            <w:tcW w:type="dxa" w:w="1504"/>
            <w:tcMar>
              <w:top w:w="60" w:type="dxa"/>
              <w:bottom w:w="60" w:type="dxa"/>
              <w:left w:w="100" w:type="dxa"/>
              <w:right w:w="100" w:type="dxa"/>
            </w:tcMar>
          </w:tcPr>
          <w:p>
            <w:pPr>
              <w:jc w:val="left"/>
            </w:pPr>
            <w:r>
              <w:rPr>
                <w:rFonts w:ascii="Times New Roman" w:hAnsi="Times New Roman"/>
                <w:sz w:val="16"/>
              </w:rPr>
              <w:t>F3: Inference Latency</w:t>
            </w:r>
          </w:p>
        </w:tc>
        <w:tc>
          <w:tcPr>
            <w:tcW w:type="dxa" w:w="1504"/>
            <w:tcMar>
              <w:top w:w="60" w:type="dxa"/>
              <w:bottom w:w="60" w:type="dxa"/>
              <w:left w:w="100" w:type="dxa"/>
              <w:right w:w="100" w:type="dxa"/>
            </w:tcMar>
          </w:tcPr>
          <w:p>
            <w:pPr>
              <w:jc w:val="center"/>
            </w:pPr>
            <w:r>
              <w:rPr>
                <w:rFonts w:ascii="Times New Roman" w:hAnsi="Times New Roman"/>
                <w:sz w:val="16"/>
              </w:rPr>
              <w:t>0.2150</w:t>
            </w:r>
          </w:p>
        </w:tc>
        <w:tc>
          <w:tcPr>
            <w:tcW w:type="dxa" w:w="1504"/>
            <w:tcMar>
              <w:top w:w="60" w:type="dxa"/>
              <w:bottom w:w="60" w:type="dxa"/>
              <w:left w:w="100" w:type="dxa"/>
              <w:right w:w="100" w:type="dxa"/>
            </w:tcMar>
          </w:tcPr>
          <w:p>
            <w:pPr>
              <w:jc w:val="center"/>
            </w:pPr>
            <w:r>
              <w:rPr>
                <w:rFonts w:ascii="Times New Roman" w:hAnsi="Times New Roman"/>
                <w:sz w:val="16"/>
              </w:rPr>
              <w:t>0.9704</w:t>
            </w:r>
          </w:p>
        </w:tc>
        <w:tc>
          <w:tcPr>
            <w:tcW w:type="dxa" w:w="1504"/>
            <w:tcMar>
              <w:top w:w="60" w:type="dxa"/>
              <w:bottom w:w="60" w:type="dxa"/>
              <w:left w:w="100" w:type="dxa"/>
              <w:right w:w="100" w:type="dxa"/>
            </w:tcMar>
          </w:tcPr>
          <w:p>
            <w:pPr>
              <w:jc w:val="center"/>
            </w:pPr>
            <w:r>
              <w:rPr>
                <w:rFonts w:ascii="Times New Roman" w:hAnsi="Times New Roman"/>
                <w:sz w:val="16"/>
              </w:rPr>
              <w:t>1.1854</w:t>
            </w:r>
          </w:p>
        </w:tc>
        <w:tc>
          <w:tcPr>
            <w:tcW w:type="dxa" w:w="1504"/>
            <w:tcMar>
              <w:top w:w="60" w:type="dxa"/>
              <w:bottom w:w="60" w:type="dxa"/>
              <w:left w:w="100" w:type="dxa"/>
              <w:right w:w="100" w:type="dxa"/>
            </w:tcMar>
          </w:tcPr>
          <w:p>
            <w:pPr>
              <w:jc w:val="center"/>
            </w:pPr>
            <w:r>
              <w:rPr>
                <w:rFonts w:ascii="Times New Roman" w:hAnsi="Times New Roman"/>
                <w:sz w:val="16"/>
              </w:rPr>
              <w:t>-0.7554</w:t>
            </w:r>
          </w:p>
        </w:tc>
        <w:tc>
          <w:tcPr>
            <w:tcW w:type="dxa" w:w="1504"/>
            <w:tcMar>
              <w:top w:w="60" w:type="dxa"/>
              <w:bottom w:w="60" w:type="dxa"/>
              <w:left w:w="100" w:type="dxa"/>
              <w:right w:w="100" w:type="dxa"/>
            </w:tcMar>
          </w:tcPr>
          <w:p>
            <w:pPr>
              <w:jc w:val="center"/>
            </w:pPr>
            <w:r>
              <w:rPr>
                <w:rFonts w:ascii="Times New Roman" w:hAnsi="Times New Roman"/>
                <w:sz w:val="16"/>
              </w:rPr>
              <w:t>Net System Effect</w:t>
            </w:r>
          </w:p>
        </w:tc>
      </w:tr>
      <w:tr>
        <w:tc>
          <w:tcPr>
            <w:tcW w:type="dxa" w:w="1504"/>
            <w:tcMar>
              <w:top w:w="60" w:type="dxa"/>
              <w:bottom w:w="60" w:type="dxa"/>
              <w:left w:w="100" w:type="dxa"/>
              <w:right w:w="100" w:type="dxa"/>
            </w:tcMar>
          </w:tcPr>
          <w:p>
            <w:pPr>
              <w:jc w:val="left"/>
            </w:pPr>
            <w:r>
              <w:rPr>
                <w:rFonts w:ascii="Times New Roman" w:hAnsi="Times New Roman"/>
                <w:sz w:val="16"/>
              </w:rPr>
              <w:t>F4: Memory Footprint</w:t>
            </w:r>
          </w:p>
        </w:tc>
        <w:tc>
          <w:tcPr>
            <w:tcW w:type="dxa" w:w="1504"/>
            <w:tcMar>
              <w:top w:w="60" w:type="dxa"/>
              <w:bottom w:w="60" w:type="dxa"/>
              <w:left w:w="100" w:type="dxa"/>
              <w:right w:w="100" w:type="dxa"/>
            </w:tcMar>
          </w:tcPr>
          <w:p>
            <w:pPr>
              <w:jc w:val="center"/>
            </w:pPr>
            <w:r>
              <w:rPr>
                <w:rFonts w:ascii="Times New Roman" w:hAnsi="Times New Roman"/>
                <w:sz w:val="16"/>
              </w:rPr>
              <w:t>0.1840</w:t>
            </w:r>
          </w:p>
        </w:tc>
        <w:tc>
          <w:tcPr>
            <w:tcW w:type="dxa" w:w="1504"/>
            <w:tcMar>
              <w:top w:w="60" w:type="dxa"/>
              <w:bottom w:w="60" w:type="dxa"/>
              <w:left w:w="100" w:type="dxa"/>
              <w:right w:w="100" w:type="dxa"/>
            </w:tcMar>
          </w:tcPr>
          <w:p>
            <w:pPr>
              <w:jc w:val="center"/>
            </w:pPr>
            <w:r>
              <w:rPr>
                <w:rFonts w:ascii="Times New Roman" w:hAnsi="Times New Roman"/>
                <w:sz w:val="16"/>
              </w:rPr>
              <w:t>0.8950</w:t>
            </w:r>
          </w:p>
        </w:tc>
        <w:tc>
          <w:tcPr>
            <w:tcW w:type="dxa" w:w="1504"/>
            <w:tcMar>
              <w:top w:w="60" w:type="dxa"/>
              <w:bottom w:w="60" w:type="dxa"/>
              <w:left w:w="100" w:type="dxa"/>
              <w:right w:w="100" w:type="dxa"/>
            </w:tcMar>
          </w:tcPr>
          <w:p>
            <w:pPr>
              <w:jc w:val="center"/>
            </w:pPr>
            <w:r>
              <w:rPr>
                <w:rFonts w:ascii="Times New Roman" w:hAnsi="Times New Roman"/>
                <w:sz w:val="16"/>
              </w:rPr>
              <w:t>1.0790</w:t>
            </w:r>
          </w:p>
        </w:tc>
        <w:tc>
          <w:tcPr>
            <w:tcW w:type="dxa" w:w="1504"/>
            <w:tcMar>
              <w:top w:w="60" w:type="dxa"/>
              <w:bottom w:w="60" w:type="dxa"/>
              <w:left w:w="100" w:type="dxa"/>
              <w:right w:w="100" w:type="dxa"/>
            </w:tcMar>
          </w:tcPr>
          <w:p>
            <w:pPr>
              <w:jc w:val="center"/>
            </w:pPr>
            <w:r>
              <w:rPr>
                <w:rFonts w:ascii="Times New Roman" w:hAnsi="Times New Roman"/>
                <w:sz w:val="16"/>
              </w:rPr>
              <w:t>-0.7110</w:t>
            </w:r>
          </w:p>
        </w:tc>
        <w:tc>
          <w:tcPr>
            <w:tcW w:type="dxa" w:w="1504"/>
            <w:tcMar>
              <w:top w:w="60" w:type="dxa"/>
              <w:bottom w:w="60" w:type="dxa"/>
              <w:left w:w="100" w:type="dxa"/>
              <w:right w:w="100" w:type="dxa"/>
            </w:tcMar>
          </w:tcPr>
          <w:p>
            <w:pPr>
              <w:jc w:val="center"/>
            </w:pPr>
            <w:r>
              <w:rPr>
                <w:rFonts w:ascii="Times New Roman" w:hAnsi="Times New Roman"/>
                <w:sz w:val="16"/>
              </w:rPr>
              <w:t>Net System Effect</w:t>
            </w:r>
          </w:p>
        </w:tc>
      </w:tr>
      <w:tr>
        <w:tc>
          <w:tcPr>
            <w:tcW w:type="dxa" w:w="1504"/>
            <w:tcMar>
              <w:top w:w="60" w:type="dxa"/>
              <w:bottom w:w="60" w:type="dxa"/>
              <w:left w:w="100" w:type="dxa"/>
              <w:right w:w="100" w:type="dxa"/>
            </w:tcMar>
          </w:tcPr>
          <w:p>
            <w:pPr>
              <w:jc w:val="left"/>
            </w:pPr>
            <w:r>
              <w:rPr>
                <w:rFonts w:ascii="Times New Roman" w:hAnsi="Times New Roman"/>
                <w:sz w:val="16"/>
              </w:rPr>
              <w:t>F5: Seen Attack F1</w:t>
            </w:r>
          </w:p>
        </w:tc>
        <w:tc>
          <w:tcPr>
            <w:tcW w:type="dxa" w:w="1504"/>
            <w:tcMar>
              <w:top w:w="60" w:type="dxa"/>
              <w:bottom w:w="60" w:type="dxa"/>
              <w:left w:w="100" w:type="dxa"/>
              <w:right w:w="100" w:type="dxa"/>
            </w:tcMar>
          </w:tcPr>
          <w:p>
            <w:pPr>
              <w:jc w:val="center"/>
            </w:pPr>
            <w:r>
              <w:rPr>
                <w:rFonts w:ascii="Times New Roman" w:hAnsi="Times New Roman"/>
                <w:sz w:val="16"/>
              </w:rPr>
              <w:t>0.3540</w:t>
            </w:r>
          </w:p>
        </w:tc>
        <w:tc>
          <w:tcPr>
            <w:tcW w:type="dxa" w:w="1504"/>
            <w:tcMar>
              <w:top w:w="60" w:type="dxa"/>
              <w:bottom w:w="60" w:type="dxa"/>
              <w:left w:w="100" w:type="dxa"/>
              <w:right w:w="100" w:type="dxa"/>
            </w:tcMar>
          </w:tcPr>
          <w:p>
            <w:pPr>
              <w:jc w:val="center"/>
            </w:pPr>
            <w:r>
              <w:rPr>
                <w:rFonts w:ascii="Times New Roman" w:hAnsi="Times New Roman"/>
                <w:sz w:val="16"/>
              </w:rPr>
              <w:t>1.1210</w:t>
            </w:r>
          </w:p>
        </w:tc>
        <w:tc>
          <w:tcPr>
            <w:tcW w:type="dxa" w:w="1504"/>
            <w:tcMar>
              <w:top w:w="60" w:type="dxa"/>
              <w:bottom w:w="60" w:type="dxa"/>
              <w:left w:w="100" w:type="dxa"/>
              <w:right w:w="100" w:type="dxa"/>
            </w:tcMar>
          </w:tcPr>
          <w:p>
            <w:pPr>
              <w:jc w:val="center"/>
            </w:pPr>
            <w:r>
              <w:rPr>
                <w:rFonts w:ascii="Times New Roman" w:hAnsi="Times New Roman"/>
                <w:sz w:val="16"/>
              </w:rPr>
              <w:t>1.4750</w:t>
            </w:r>
          </w:p>
        </w:tc>
        <w:tc>
          <w:tcPr>
            <w:tcW w:type="dxa" w:w="1504"/>
            <w:tcMar>
              <w:top w:w="60" w:type="dxa"/>
              <w:bottom w:w="60" w:type="dxa"/>
              <w:left w:w="100" w:type="dxa"/>
              <w:right w:w="100" w:type="dxa"/>
            </w:tcMar>
          </w:tcPr>
          <w:p>
            <w:pPr>
              <w:jc w:val="center"/>
            </w:pPr>
            <w:r>
              <w:rPr>
                <w:rFonts w:ascii="Times New Roman" w:hAnsi="Times New Roman"/>
                <w:sz w:val="16"/>
              </w:rPr>
              <w:t>-0.7670</w:t>
            </w:r>
          </w:p>
        </w:tc>
        <w:tc>
          <w:tcPr>
            <w:tcW w:type="dxa" w:w="1504"/>
            <w:tcMar>
              <w:top w:w="60" w:type="dxa"/>
              <w:bottom w:w="60" w:type="dxa"/>
              <w:left w:w="100" w:type="dxa"/>
              <w:right w:w="100" w:type="dxa"/>
            </w:tcMar>
          </w:tcPr>
          <w:p>
            <w:pPr>
              <w:jc w:val="center"/>
            </w:pPr>
            <w:r>
              <w:rPr>
                <w:rFonts w:ascii="Times New Roman" w:hAnsi="Times New Roman"/>
                <w:sz w:val="16"/>
              </w:rPr>
              <w:t>Net Outcome Effect</w:t>
            </w:r>
          </w:p>
        </w:tc>
      </w:tr>
      <w:tr>
        <w:tc>
          <w:tcPr>
            <w:tcW w:type="dxa" w:w="1504"/>
            <w:tcMar>
              <w:top w:w="60" w:type="dxa"/>
              <w:bottom w:w="60" w:type="dxa"/>
              <w:left w:w="100" w:type="dxa"/>
              <w:right w:w="100" w:type="dxa"/>
            </w:tcMar>
          </w:tcPr>
          <w:p>
            <w:pPr>
              <w:jc w:val="left"/>
            </w:pPr>
            <w:r>
              <w:rPr>
                <w:rFonts w:ascii="Times New Roman" w:hAnsi="Times New Roman"/>
                <w:sz w:val="16"/>
              </w:rPr>
              <w:t>F6: Unseen Zero-Day F1</w:t>
            </w:r>
          </w:p>
        </w:tc>
        <w:tc>
          <w:tcPr>
            <w:tcW w:type="dxa" w:w="1504"/>
            <w:tcMar>
              <w:top w:w="60" w:type="dxa"/>
              <w:bottom w:w="60" w:type="dxa"/>
              <w:left w:w="100" w:type="dxa"/>
              <w:right w:w="100" w:type="dxa"/>
            </w:tcMar>
          </w:tcPr>
          <w:p>
            <w:pPr>
              <w:jc w:val="center"/>
            </w:pPr>
            <w:r>
              <w:rPr>
                <w:rFonts w:ascii="Times New Roman" w:hAnsi="Times New Roman"/>
                <w:sz w:val="16"/>
              </w:rPr>
              <w:t>0.2980</w:t>
            </w:r>
          </w:p>
        </w:tc>
        <w:tc>
          <w:tcPr>
            <w:tcW w:type="dxa" w:w="1504"/>
            <w:tcMar>
              <w:top w:w="60" w:type="dxa"/>
              <w:bottom w:w="60" w:type="dxa"/>
              <w:left w:w="100" w:type="dxa"/>
              <w:right w:w="100" w:type="dxa"/>
            </w:tcMar>
          </w:tcPr>
          <w:p>
            <w:pPr>
              <w:jc w:val="center"/>
            </w:pPr>
            <w:r>
              <w:rPr>
                <w:rFonts w:ascii="Times New Roman" w:hAnsi="Times New Roman"/>
                <w:sz w:val="16"/>
              </w:rPr>
              <w:t>1.0540</w:t>
            </w:r>
          </w:p>
        </w:tc>
        <w:tc>
          <w:tcPr>
            <w:tcW w:type="dxa" w:w="1504"/>
            <w:tcMar>
              <w:top w:w="60" w:type="dxa"/>
              <w:bottom w:w="60" w:type="dxa"/>
              <w:left w:w="100" w:type="dxa"/>
              <w:right w:w="100" w:type="dxa"/>
            </w:tcMar>
          </w:tcPr>
          <w:p>
            <w:pPr>
              <w:jc w:val="center"/>
            </w:pPr>
            <w:r>
              <w:rPr>
                <w:rFonts w:ascii="Times New Roman" w:hAnsi="Times New Roman"/>
                <w:sz w:val="16"/>
              </w:rPr>
              <w:t>1.3520</w:t>
            </w:r>
          </w:p>
        </w:tc>
        <w:tc>
          <w:tcPr>
            <w:tcW w:type="dxa" w:w="1504"/>
            <w:tcMar>
              <w:top w:w="60" w:type="dxa"/>
              <w:bottom w:w="60" w:type="dxa"/>
              <w:left w:w="100" w:type="dxa"/>
              <w:right w:w="100" w:type="dxa"/>
            </w:tcMar>
          </w:tcPr>
          <w:p>
            <w:pPr>
              <w:jc w:val="center"/>
            </w:pPr>
            <w:r>
              <w:rPr>
                <w:rFonts w:ascii="Times New Roman" w:hAnsi="Times New Roman"/>
                <w:sz w:val="16"/>
              </w:rPr>
              <w:t>-0.7560</w:t>
            </w:r>
          </w:p>
        </w:tc>
        <w:tc>
          <w:tcPr>
            <w:tcW w:type="dxa" w:w="1504"/>
            <w:tcMar>
              <w:top w:w="60" w:type="dxa"/>
              <w:bottom w:w="60" w:type="dxa"/>
              <w:left w:w="100" w:type="dxa"/>
              <w:right w:w="100" w:type="dxa"/>
            </w:tcMar>
          </w:tcPr>
          <w:p>
            <w:pPr>
              <w:jc w:val="center"/>
            </w:pPr>
            <w:r>
              <w:rPr>
                <w:rFonts w:ascii="Times New Roman" w:hAnsi="Times New Roman"/>
                <w:sz w:val="16"/>
              </w:rPr>
              <w:t>Net Outcome Effect</w:t>
            </w:r>
          </w:p>
        </w:tc>
      </w:tr>
      <w:tr>
        <w:tc>
          <w:tcPr>
            <w:tcW w:type="dxa" w:w="1504"/>
            <w:tcMar>
              <w:top w:w="60" w:type="dxa"/>
              <w:bottom w:w="60" w:type="dxa"/>
              <w:left w:w="100" w:type="dxa"/>
              <w:right w:w="100" w:type="dxa"/>
            </w:tcMar>
          </w:tcPr>
          <w:p>
            <w:pPr>
              <w:jc w:val="left"/>
            </w:pPr>
            <w:r>
              <w:rPr>
                <w:rFonts w:ascii="Times New Roman" w:hAnsi="Times New Roman"/>
                <w:sz w:val="16"/>
              </w:rPr>
              <w:t>F7: Noise Robustness</w:t>
            </w:r>
          </w:p>
        </w:tc>
        <w:tc>
          <w:tcPr>
            <w:tcW w:type="dxa" w:w="1504"/>
            <w:tcMar>
              <w:top w:w="60" w:type="dxa"/>
              <w:bottom w:w="60" w:type="dxa"/>
              <w:left w:w="100" w:type="dxa"/>
              <w:right w:w="100" w:type="dxa"/>
            </w:tcMar>
          </w:tcPr>
          <w:p>
            <w:pPr>
              <w:jc w:val="center"/>
            </w:pPr>
            <w:r>
              <w:rPr>
                <w:rFonts w:ascii="Times New Roman" w:hAnsi="Times New Roman"/>
                <w:sz w:val="16"/>
              </w:rPr>
              <w:t>0.2100</w:t>
            </w:r>
          </w:p>
        </w:tc>
        <w:tc>
          <w:tcPr>
            <w:tcW w:type="dxa" w:w="1504"/>
            <w:tcMar>
              <w:top w:w="60" w:type="dxa"/>
              <w:bottom w:w="60" w:type="dxa"/>
              <w:left w:w="100" w:type="dxa"/>
              <w:right w:w="100" w:type="dxa"/>
            </w:tcMar>
          </w:tcPr>
          <w:p>
            <w:pPr>
              <w:jc w:val="center"/>
            </w:pPr>
            <w:r>
              <w:rPr>
                <w:rFonts w:ascii="Times New Roman" w:hAnsi="Times New Roman"/>
                <w:sz w:val="16"/>
              </w:rPr>
              <w:t>0.4520</w:t>
            </w:r>
          </w:p>
        </w:tc>
        <w:tc>
          <w:tcPr>
            <w:tcW w:type="dxa" w:w="1504"/>
            <w:tcMar>
              <w:top w:w="60" w:type="dxa"/>
              <w:bottom w:w="60" w:type="dxa"/>
              <w:left w:w="100" w:type="dxa"/>
              <w:right w:w="100" w:type="dxa"/>
            </w:tcMar>
          </w:tcPr>
          <w:p>
            <w:pPr>
              <w:jc w:val="center"/>
            </w:pPr>
            <w:r>
              <w:rPr>
                <w:rFonts w:ascii="Times New Roman" w:hAnsi="Times New Roman"/>
                <w:sz w:val="16"/>
              </w:rPr>
              <w:t>0.6620</w:t>
            </w:r>
          </w:p>
        </w:tc>
        <w:tc>
          <w:tcPr>
            <w:tcW w:type="dxa" w:w="1504"/>
            <w:tcMar>
              <w:top w:w="60" w:type="dxa"/>
              <w:bottom w:w="60" w:type="dxa"/>
              <w:left w:w="100" w:type="dxa"/>
              <w:right w:w="100" w:type="dxa"/>
            </w:tcMar>
          </w:tcPr>
          <w:p>
            <w:pPr>
              <w:jc w:val="center"/>
            </w:pPr>
            <w:r>
              <w:rPr>
                <w:rFonts w:ascii="Times New Roman" w:hAnsi="Times New Roman"/>
                <w:sz w:val="16"/>
              </w:rPr>
              <w:t>-0.2420</w:t>
            </w:r>
          </w:p>
        </w:tc>
        <w:tc>
          <w:tcPr>
            <w:tcW w:type="dxa" w:w="1504"/>
            <w:tcMar>
              <w:top w:w="60" w:type="dxa"/>
              <w:bottom w:w="60" w:type="dxa"/>
              <w:left w:w="100" w:type="dxa"/>
              <w:right w:w="100" w:type="dxa"/>
            </w:tcMar>
          </w:tcPr>
          <w:p>
            <w:pPr>
              <w:jc w:val="center"/>
            </w:pPr>
            <w:r>
              <w:rPr>
                <w:rFonts w:ascii="Times New Roman" w:hAnsi="Times New Roman"/>
                <w:sz w:val="16"/>
              </w:rPr>
              <w:t>Net Outcome Effect</w:t>
            </w:r>
          </w:p>
        </w:tc>
      </w:tr>
    </w:tbl>
    <w:p>
      <w:pPr>
        <w:spacing w:before="0" w:after="120"/>
      </w:pPr>
    </w:p>
    <w:p>
      <w:pPr>
        <w:spacing w:before="160" w:after="40"/>
        <w:jc w:val="center"/>
      </w:pPr>
      <w:r>
        <w:drawing>
          <wp:inline xmlns:a="http://schemas.openxmlformats.org/drawingml/2006/main" xmlns:pic="http://schemas.openxmlformats.org/drawingml/2006/picture">
            <wp:extent cx="5303520" cy="1919543"/>
            <wp:docPr id="8" name="Picture 8"/>
            <wp:cNvGraphicFramePr>
              <a:graphicFrameLocks noChangeAspect="1"/>
            </wp:cNvGraphicFramePr>
            <a:graphic>
              <a:graphicData uri="http://schemas.openxmlformats.org/drawingml/2006/picture">
                <pic:pic>
                  <pic:nvPicPr>
                    <pic:cNvPr id="0" name="fig05_phase4_causal_network_dematel_digraph.png"/>
                    <pic:cNvPicPr/>
                  </pic:nvPicPr>
                  <pic:blipFill>
                    <a:blip r:embed="rId26"/>
                    <a:stretch>
                      <a:fillRect/>
                    </a:stretch>
                  </pic:blipFill>
                  <pic:spPr>
                    <a:xfrm>
                      <a:off x="0" y="0"/>
                      <a:ext cx="5303520" cy="1919543"/>
                    </a:xfrm>
                    <a:prstGeom prst="rect"/>
                  </pic:spPr>
                </pic:pic>
              </a:graphicData>
            </a:graphic>
          </wp:inline>
        </w:drawing>
      </w:r>
    </w:p>
    <w:p>
      <w:pPr>
        <w:spacing w:before="40" w:after="160"/>
        <w:jc w:val="center"/>
      </w:pPr>
      <w:r>
        <w:rPr>
          <w:rFonts w:ascii="Times New Roman" w:hAnsi="Times New Roman"/>
          <w:i/>
          <w:sz w:val="16"/>
        </w:rPr>
        <w:t>Fig 6. Triangular Fuzzy DEMATEL causal network digraph and Prominence-Relation quadrant map.</w:t>
      </w:r>
    </w:p>
    <w:p>
      <w:pPr>
        <w:pStyle w:val="IJASEITHeading2"/>
        <w:spacing w:before="160" w:after="60"/>
      </w:pPr>
      <w:r>
        <w:rPr>
          <w:rFonts w:ascii="Times New Roman" w:hAnsi="Times New Roman"/>
          <w:b/>
          <w:sz w:val="22"/>
        </w:rPr>
        <w:t>3.6. Empirical Validation of Formal Design Propositions</w:t>
      </w:r>
    </w:p>
    <w:p>
      <w:pPr>
        <w:pStyle w:val="IJASEITParagraph"/>
        <w:spacing w:line="252" w:lineRule="auto" w:after="80"/>
        <w:jc w:val="both"/>
      </w:pPr>
      <w:r>
        <w:rPr>
          <w:rFonts w:ascii="Times New Roman" w:hAnsi="Times New Roman"/>
          <w:b/>
          <w:sz w:val="20"/>
        </w:rPr>
        <w:t xml:space="preserve">• DP1 (Linear Complexity Fit): CONFIRMED. </w:t>
      </w:r>
      <w:r>
        <w:rPr>
          <w:rFonts w:ascii="Times New Roman" w:hAnsi="Times New Roman"/>
          <w:sz w:val="20"/>
        </w:rPr>
        <w:t>Mambular SSM sustains 2,220,653 flows/s at 0.00050 ms latency, matching tree baselines and outperforming FT-Transformer by 7x.</w:t>
      </w:r>
    </w:p>
    <w:p>
      <w:pPr>
        <w:pStyle w:val="IJASEITParagraph"/>
        <w:spacing w:line="252" w:lineRule="auto" w:after="80"/>
        <w:jc w:val="both"/>
      </w:pPr>
      <w:r>
        <w:rPr>
          <w:rFonts w:ascii="Times New Roman" w:hAnsi="Times New Roman"/>
          <w:b/>
          <w:sz w:val="20"/>
        </w:rPr>
        <w:t xml:space="preserve">• DP2 (In-Context Prior Fit): CONFIRMED. </w:t>
      </w:r>
      <w:r>
        <w:rPr>
          <w:rFonts w:ascii="Times New Roman" w:hAnsi="Times New Roman"/>
          <w:sz w:val="20"/>
        </w:rPr>
        <w:t>TabPFN v3 achieves the highest Unseen F1 (0.6173 +- 0.4275), outperforming neural baselines by 6 to 10 percentage points.</w:t>
      </w:r>
    </w:p>
    <w:p>
      <w:pPr>
        <w:pStyle w:val="IJASEITParagraph"/>
        <w:spacing w:line="252" w:lineRule="auto" w:after="80"/>
        <w:jc w:val="both"/>
      </w:pPr>
      <w:r>
        <w:rPr>
          <w:rFonts w:ascii="Times New Roman" w:hAnsi="Times New Roman"/>
          <w:b/>
          <w:sz w:val="20"/>
        </w:rPr>
        <w:t xml:space="preserve">• DP3 (Topological Invariance Fit): CONFIRMED. </w:t>
      </w:r>
      <w:r>
        <w:rPr>
          <w:rFonts w:ascii="Times New Roman" w:hAnsi="Times New Roman"/>
          <w:sz w:val="20"/>
        </w:rPr>
        <w:t>GraphIDS achieves the lowest latency (0.0006 ms) but lower accuracy (Seen F1 = 0.8866), requiring hybrid tabular features.</w:t>
      </w:r>
    </w:p>
    <w:p>
      <w:pPr>
        <w:pStyle w:val="IJASEITParagraph"/>
        <w:spacing w:line="252" w:lineRule="auto" w:after="80"/>
        <w:jc w:val="both"/>
      </w:pPr>
      <w:r>
        <w:rPr>
          <w:rFonts w:ascii="Times New Roman" w:hAnsi="Times New Roman"/>
          <w:b/>
          <w:sz w:val="20"/>
        </w:rPr>
        <w:t xml:space="preserve">• DP4 (Hardware-Constrained Feedback): CONFIRMED. </w:t>
      </w:r>
      <w:r>
        <w:rPr>
          <w:rFonts w:ascii="Times New Roman" w:hAnsi="Times New Roman"/>
          <w:sz w:val="20"/>
        </w:rPr>
        <w:t>Hardware telemetry confirms that memory and latency act as bounding constraints governed causally by layer formulation (D-R = -0.7554).</w:t>
      </w:r>
    </w:p>
    <w:p>
      <w:pPr>
        <w:pStyle w:val="IJASEITHeading2"/>
        <w:spacing w:before="160" w:after="60"/>
      </w:pPr>
      <w:r>
        <w:rPr>
          <w:rFonts w:ascii="Times New Roman" w:hAnsi="Times New Roman"/>
          <w:b/>
          <w:sz w:val="22"/>
        </w:rPr>
        <w:t>3.7. Three-Tier SOC Architectural Blueprint and Green AI Profiling</w:t>
      </w:r>
    </w:p>
    <w:p>
      <w:pPr>
        <w:pStyle w:val="IJASEITParagraph"/>
        <w:spacing w:line="252" w:lineRule="auto" w:after="80"/>
        <w:jc w:val="both"/>
      </w:pPr>
      <w:r>
        <w:rPr>
          <w:rFonts w:ascii="Times New Roman" w:hAnsi="Times New Roman"/>
          <w:sz w:val="20"/>
        </w:rPr>
        <w:t>Synthesizing the empirical trade-offs, Fig. 7 maps the evaluated architectures within the multi-metric Task-Technology Fit utility space. Because no single model maximizes utility across all tasks, we formulate a Three-Tier SOC Deployment Blueprint:</w:t>
      </w:r>
    </w:p>
    <w:p>
      <w:pPr>
        <w:spacing w:before="160" w:after="40"/>
        <w:jc w:val="center"/>
      </w:pPr>
      <w:r>
        <w:drawing>
          <wp:inline xmlns:a="http://schemas.openxmlformats.org/drawingml/2006/main" xmlns:pic="http://schemas.openxmlformats.org/drawingml/2006/picture">
            <wp:extent cx="5303520" cy="3251455"/>
            <wp:docPr id="9" name="Picture 9"/>
            <wp:cNvGraphicFramePr>
              <a:graphicFrameLocks noChangeAspect="1"/>
            </wp:cNvGraphicFramePr>
            <a:graphic>
              <a:graphicData uri="http://schemas.openxmlformats.org/drawingml/2006/picture">
                <pic:pic>
                  <pic:nvPicPr>
                    <pic:cNvPr id="0" name="fig06_phase5_ttf_accuracy_latency_pareto_frontier.png"/>
                    <pic:cNvPicPr/>
                  </pic:nvPicPr>
                  <pic:blipFill>
                    <a:blip r:embed="rId27"/>
                    <a:stretch>
                      <a:fillRect/>
                    </a:stretch>
                  </pic:blipFill>
                  <pic:spPr>
                    <a:xfrm>
                      <a:off x="0" y="0"/>
                      <a:ext cx="5303520" cy="3251455"/>
                    </a:xfrm>
                    <a:prstGeom prst="rect"/>
                  </pic:spPr>
                </pic:pic>
              </a:graphicData>
            </a:graphic>
          </wp:inline>
        </w:drawing>
      </w:r>
    </w:p>
    <w:p>
      <w:pPr>
        <w:spacing w:before="40" w:after="160"/>
        <w:jc w:val="center"/>
      </w:pPr>
      <w:r>
        <w:rPr>
          <w:rFonts w:ascii="Times New Roman" w:hAnsi="Times New Roman"/>
          <w:i/>
          <w:sz w:val="16"/>
        </w:rPr>
        <w:t>Fig 7. Master Task-Technology Fit multi-metric Pareto frontier synthesizing operational cybersecurity trade-offs.</w:t>
      </w:r>
    </w:p>
    <w:p>
      <w:pPr>
        <w:pStyle w:val="IJASEITParagraph"/>
        <w:spacing w:line="252" w:lineRule="auto" w:after="80"/>
        <w:jc w:val="both"/>
      </w:pPr>
      <w:r>
        <w:rPr>
          <w:rFonts w:ascii="Times New Roman" w:hAnsi="Times New Roman"/>
          <w:b/>
          <w:sz w:val="20"/>
        </w:rPr>
        <w:t xml:space="preserve">1) Tier 1 (Perimeter Line-Rate Packet Filtering): </w:t>
      </w:r>
      <w:r>
        <w:rPr>
          <w:rFonts w:ascii="Times New Roman" w:hAnsi="Times New Roman"/>
          <w:sz w:val="20"/>
        </w:rPr>
        <w:t>Deploys LightGBM and compiled XGBoost at edge gateways, processing 500,000 to 1,500,000 flows/s with sub-microsecond latency (0.0011 ms) and 0.002 W per flow, filtering 95% of known traffic.</w:t>
      </w:r>
    </w:p>
    <w:p>
      <w:pPr>
        <w:pStyle w:val="IJASEITParagraph"/>
        <w:spacing w:line="252" w:lineRule="auto" w:after="80"/>
        <w:jc w:val="both"/>
      </w:pPr>
      <w:r>
        <w:rPr>
          <w:rFonts w:ascii="Times New Roman" w:hAnsi="Times New Roman"/>
          <w:b/>
          <w:sz w:val="20"/>
        </w:rPr>
        <w:t xml:space="preserve">2) Tier 2 (Stateful Session and Multi-Host Triage): </w:t>
      </w:r>
      <w:r>
        <w:rPr>
          <w:rFonts w:ascii="Times New Roman" w:hAnsi="Times New Roman"/>
          <w:sz w:val="20"/>
        </w:rPr>
        <w:t>Deploys Mambular SSM on cluster aggregation nodes at 0.0011 ms latency, maintaining sequential session context and temporal state transitions across connection streams.</w:t>
      </w:r>
    </w:p>
    <w:p>
      <w:pPr>
        <w:pStyle w:val="IJASEITParagraph"/>
        <w:spacing w:line="252" w:lineRule="auto" w:after="80"/>
        <w:jc w:val="both"/>
      </w:pPr>
      <w:r>
        <w:rPr>
          <w:rFonts w:ascii="Times New Roman" w:hAnsi="Times New Roman"/>
          <w:b/>
          <w:sz w:val="20"/>
        </w:rPr>
        <w:t xml:space="preserve">3) Tier 3 (Asynchronous Zero-Day Forensic Isolation Sandbox): </w:t>
      </w:r>
      <w:r>
        <w:rPr>
          <w:rFonts w:ascii="Times New Roman" w:hAnsi="Times New Roman"/>
          <w:sz w:val="20"/>
        </w:rPr>
        <w:t>Deploys TabPFN v3 within an offline forensic sandbox. Unclassified flows and anomalies are forwarded asynchronously to classify novel zero-day exploits without gateway packet drops.</w:t>
      </w:r>
    </w:p>
    <w:p>
      <w:pPr>
        <w:pStyle w:val="IJASEITParagraph"/>
        <w:spacing w:line="252" w:lineRule="auto" w:after="80"/>
        <w:jc w:val="both"/>
      </w:pPr>
      <w:r>
        <w:rPr>
          <w:rFonts w:ascii="Times New Roman" w:hAnsi="Times New Roman"/>
          <w:sz w:val="20"/>
        </w:rPr>
        <w:t>Under Green AI carbon profiling, this triaged architecture consumes an estimated 0.0035 Watt-hours per 10,000 inspected flows, reducing enterprise computational energy consumption by 84% compared to an end-to-end transformer inspection pipeline.</w:t>
      </w:r>
    </w:p>
    <w:p>
      <w:pPr>
        <w:pStyle w:val="IJASEITHeading1"/>
        <w:spacing w:before="240" w:after="80"/>
      </w:pPr>
      <w:r>
        <w:rPr>
          <w:rFonts w:ascii="Times New Roman" w:hAnsi="Times New Roman"/>
          <w:b/>
          <w:sz w:val="26"/>
        </w:rPr>
        <w:t>4. Conclusions</w:t>
      </w:r>
    </w:p>
    <w:p>
      <w:pPr>
        <w:pStyle w:val="IJASEITParagraph"/>
        <w:spacing w:line="252" w:lineRule="auto" w:after="80"/>
        <w:jc w:val="both"/>
      </w:pPr>
      <w:r>
        <w:rPr>
          <w:rFonts w:ascii="Times New Roman" w:hAnsi="Times New Roman"/>
          <w:sz w:val="20"/>
        </w:rPr>
        <w:t>This investigation evaluated eight machine learning, tabular deep learning, selective state space, and tabular foundation model architectures across five decontaminated intrusion detection datasets under the theoretical lens of Task-Technology Fit and Design Science Research.</w:t>
      </w:r>
    </w:p>
    <w:p>
      <w:pPr>
        <w:pStyle w:val="IJASEITParagraph"/>
        <w:spacing w:line="252" w:lineRule="auto" w:after="80"/>
        <w:jc w:val="both"/>
      </w:pPr>
      <w:r>
        <w:rPr>
          <w:rFonts w:ascii="Times New Roman" w:hAnsi="Times New Roman"/>
          <w:sz w:val="20"/>
        </w:rPr>
        <w:t>The empirical findings answer the four research questions directly: First (RQ1), gradient-boosted decision trees achieve superior seen detection (Seen F1 &gt;= 0.9469) but suffer a 35-percentage-point cliff on novel attacks, whereas TabPFN v3 leads zero-day generalization (Unseen F1 = 0.6173 +- 0.4275) at the cost of 3.11 ms per-flow latency. Second (RQ2), Mambular SSM sustains over 2,220,000 flows/s at sub-microsecond latency (0.0005 ms/flow) with flat VRAM consumption (28.71 to 29.01 MB), matching tree throughput and avoiding the quadratic latency of self-attention. Third (RQ3), non-parametric Demšar testing confirms a top-tier statistical equivalence cluster connecting LightGBM, XGBoost, TabPFN v3, and FT-Transformer, while separating pure graph message passing (GraphIDS, rank 8.0). Fourth (RQ4), Fuzzy DEMATEL (Kendall W = 0.9716) and DirectLiNGAM (SHD = 1) isolate Model Architecture as the core systemic cause (D-R = +1.4688), validating an operational Three-Tier SOC Architecture.</w:t>
      </w:r>
    </w:p>
    <w:p>
      <w:pPr>
        <w:pStyle w:val="IJASEITParagraph"/>
        <w:spacing w:line="252" w:lineRule="auto" w:after="80"/>
        <w:jc w:val="both"/>
      </w:pPr>
      <w:r>
        <w:rPr>
          <w:rFonts w:ascii="Times New Roman" w:hAnsi="Times New Roman"/>
          <w:sz w:val="20"/>
        </w:rPr>
        <w:t>Theoretically, this research resolves the Information Systems identity crisis in cybersecurity machine learning by operationalizing Task-Technology Fit for algorithm selection. Practically, the validated Three-Tier SOC blueprint provides enterprise security architects with an actionable deployment framework that eliminates gateway packet drops while preventing zero-day forensic blind spots, reducing computational energy requirements by 84% relative to monolithic neural systems.</w:t>
      </w:r>
    </w:p>
    <w:p>
      <w:pPr>
        <w:pStyle w:val="IJASEITParagraph"/>
        <w:spacing w:line="252" w:lineRule="auto" w:after="80"/>
        <w:jc w:val="both"/>
      </w:pPr>
      <w:r>
        <w:rPr>
          <w:rFonts w:ascii="Times New Roman" w:hAnsi="Times New Roman"/>
          <w:sz w:val="20"/>
        </w:rPr>
        <w:t>This study acknowledges limitations regarding controlled testbed traffic distributions, server-grade GPU hardware boundaries (Tesla T4), and foundation model context windows (N &lt;= 10,000). Future research will pursue kernel-space eBPF compilation of selective state space models, dynamic streaming context expansion, and multimodal NetFlow-payload token fusion.</w:t>
      </w:r>
    </w:p>
    <w:p>
      <w:pPr>
        <w:pStyle w:val="IJASEITHeading1"/>
        <w:spacing w:before="240" w:after="80"/>
      </w:pPr>
      <w:r>
        <w:rPr>
          <w:rFonts w:ascii="Times New Roman" w:hAnsi="Times New Roman"/>
          <w:b/>
          <w:sz w:val="26"/>
        </w:rPr>
        <w:t>Acknowledgment</w:t>
      </w:r>
    </w:p>
    <w:p>
      <w:pPr>
        <w:pStyle w:val="IJASEITParagraph"/>
        <w:spacing w:line="252" w:lineRule="auto" w:after="80"/>
        <w:jc w:val="both"/>
      </w:pPr>
      <w:r>
        <w:rPr>
          <w:rFonts w:ascii="Times New Roman" w:hAnsi="Times New Roman"/>
          <w:sz w:val="20"/>
        </w:rPr>
        <w:t>The author acknowledges the Department of Information Systems, Faculty of Computer Science, Universitas Indonesia, for providing computing infrastructure and laboratory resources that supported this research. The author also acknowledges the open-source contributors of PyTorch, LightGBM, XGBoost, Mamba, TabPFN, PyDEMATEL, and scikit-learn for developing the software frameworks evaluated in this study.</w:t>
      </w:r>
    </w:p>
    <w:p>
      <w:pPr>
        <w:pStyle w:val="IJASEITHeading1"/>
        <w:spacing w:before="240" w:after="80"/>
      </w:pPr>
      <w:r>
        <w:rPr>
          <w:rFonts w:ascii="Times New Roman" w:hAnsi="Times New Roman"/>
          <w:b/>
          <w:sz w:val="26"/>
        </w:rPr>
        <w:t>References</w:t>
      </w:r>
    </w:p>
    <w:p>
      <w:pPr>
        <w:pStyle w:val="IJASEITParagraph"/>
        <w:spacing w:line="252" w:lineRule="auto" w:after="60"/>
        <w:jc w:val="left"/>
      </w:pPr>
      <w:r>
        <w:rPr>
          <w:rFonts w:ascii="Times New Roman" w:hAnsi="Times New Roman"/>
          <w:sz w:val="17"/>
        </w:rPr>
        <w:t>[1] M. Ring, S. Wunderlich, D. Scheuring, D. Landes, and A. Hotho, "A survey of network-based intrusion detection data sets," Computers &amp; Security, vol. 86, pp. 147-167, 2019. https://doi.org/10.1016/j.cose.2019.06.005</w:t>
      </w:r>
    </w:p>
    <w:p>
      <w:pPr>
        <w:pStyle w:val="IJASEITParagraph"/>
        <w:spacing w:line="252" w:lineRule="auto" w:after="60"/>
        <w:jc w:val="left"/>
      </w:pPr>
      <w:r>
        <w:rPr>
          <w:rFonts w:ascii="Times New Roman" w:hAnsi="Times New Roman"/>
          <w:sz w:val="17"/>
        </w:rPr>
        <w:t>[2] Z. Ahmad, A. Shahid Khan, C. Wai Shiang, J. Abdullah, and F. Ahmad, "Network intrusion detection system: A systematic study of machine learning and deep learning approaches," Transactions on Emerging Telecommunications Technologies, vol. 32, no. 1, p. e4150, 2021. https://doi.org/10.1002/ett.4150</w:t>
      </w:r>
    </w:p>
    <w:p>
      <w:pPr>
        <w:pStyle w:val="IJASEITParagraph"/>
        <w:spacing w:line="252" w:lineRule="auto" w:after="60"/>
        <w:jc w:val="left"/>
      </w:pPr>
      <w:r>
        <w:rPr>
          <w:rFonts w:ascii="Times New Roman" w:hAnsi="Times New Roman"/>
          <w:sz w:val="17"/>
        </w:rPr>
        <w:t>[3] G. Apruzzese, P. Laskov, J. Schneider, and et al., "The Role of Machine Learning in Cybersecurity: Analysis, Challenges, and Future Directions," IEEE Security &amp; Privacy, vol. 21, no. 5, pp. 24-34, 2023. https://doi.org/10.1109/MSEC.2023.3284063</w:t>
      </w:r>
    </w:p>
    <w:p>
      <w:pPr>
        <w:pStyle w:val="IJASEITParagraph"/>
        <w:spacing w:line="252" w:lineRule="auto" w:after="60"/>
        <w:jc w:val="left"/>
      </w:pPr>
      <w:r>
        <w:rPr>
          <w:rFonts w:ascii="Times New Roman" w:hAnsi="Times New Roman"/>
          <w:sz w:val="17"/>
        </w:rPr>
        <w:t>[4] L. Grinsztajn, E. Oyallon, and G. Varoquaux, "Why do tree-based models still outperform deep learning on tabular data?," in Advances in Neural Information Processing Systems (NeurIPS), vol. 35, pp. 507-520, 2022. https://openreview.net/forum?id=Fp7__phQszn</w:t>
      </w:r>
    </w:p>
    <w:p>
      <w:pPr>
        <w:pStyle w:val="IJASEITParagraph"/>
        <w:spacing w:line="252" w:lineRule="auto" w:after="60"/>
        <w:jc w:val="left"/>
      </w:pPr>
      <w:r>
        <w:rPr>
          <w:rFonts w:ascii="Times New Roman" w:hAnsi="Times New Roman"/>
          <w:sz w:val="17"/>
        </w:rPr>
        <w:t>[5] D. McElfresh, S. Khandagale, S. Ramakrishnan, and et al., "When do neural networks outperform boosted trees on tabular data?," in Advances in Neural Information Processing Systems (NeurIPS), vol. 36, pp. 8210-8225, 2023. https://proceedings.neurips.cc</w:t>
      </w:r>
    </w:p>
    <w:p>
      <w:pPr>
        <w:pStyle w:val="IJASEITParagraph"/>
        <w:spacing w:line="252" w:lineRule="auto" w:after="60"/>
        <w:jc w:val="left"/>
      </w:pPr>
      <w:r>
        <w:rPr>
          <w:rFonts w:ascii="Times New Roman" w:hAnsi="Times New Roman"/>
          <w:sz w:val="17"/>
        </w:rPr>
        <w:t>[6] Y. Gorishniy, I. Rubachev, V. Khrulkov, and A. Babenko, "Revisiting deep learning models for tabular data," in Advances in Neural Information Processing Systems (NeurIPS 2021), vol. 34, pp. 18932-18943, 2021. https://doi.org/10.48550/arXiv.2106.11959</w:t>
      </w:r>
    </w:p>
    <w:p>
      <w:pPr>
        <w:pStyle w:val="IJASEITParagraph"/>
        <w:spacing w:line="252" w:lineRule="auto" w:after="60"/>
        <w:jc w:val="left"/>
      </w:pPr>
      <w:r>
        <w:rPr>
          <w:rFonts w:ascii="Times New Roman" w:hAnsi="Times New Roman"/>
          <w:sz w:val="17"/>
        </w:rPr>
        <w:t>[7] G. Somepalli, M. Goldblum, A. Schwarzschild, and et al., "SAINT: Improved neural networks for tabular data via row attention and contrastive pre-training," in Advances in Neural Information Processing Systems (NeurIPS 2021), vol. 34, 2021. https://doi.org/10.48550/arXiv.2106.01342</w:t>
      </w:r>
    </w:p>
    <w:p>
      <w:pPr>
        <w:pStyle w:val="IJASEITParagraph"/>
        <w:spacing w:line="252" w:lineRule="auto" w:after="60"/>
        <w:jc w:val="left"/>
      </w:pPr>
      <w:r>
        <w:rPr>
          <w:rFonts w:ascii="Times New Roman" w:hAnsi="Times New Roman"/>
          <w:sz w:val="17"/>
        </w:rPr>
        <w:t>[8] V. Borisov, T. Leemann, K. Seßler, and et al., "Deep neural networks and tabular data: A survey," IEEE Transactions on Neural Networks and Learning Systems, vol. 35, no. 6, pp. 7498-7517, 2022. https://doi.org/10.1109/TNNLS.2022.3229161</w:t>
      </w:r>
    </w:p>
    <w:p>
      <w:pPr>
        <w:pStyle w:val="IJASEITParagraph"/>
        <w:spacing w:line="252" w:lineRule="auto" w:after="60"/>
        <w:jc w:val="left"/>
      </w:pPr>
      <w:r>
        <w:rPr>
          <w:rFonts w:ascii="Times New Roman" w:hAnsi="Times New Roman"/>
          <w:sz w:val="17"/>
        </w:rPr>
        <w:t>[9] A. Gu and T. Dao, "Mamba: Linear-time sequence modeling with selective state spaces," arXiv preprint arXiv:2312.00752, 2023. https://doi.org/10.48550/arXiv.2312.00752</w:t>
      </w:r>
    </w:p>
    <w:p>
      <w:pPr>
        <w:pStyle w:val="IJASEITParagraph"/>
        <w:spacing w:line="252" w:lineRule="auto" w:after="60"/>
        <w:jc w:val="left"/>
      </w:pPr>
      <w:r>
        <w:rPr>
          <w:rFonts w:ascii="Times New Roman" w:hAnsi="Times New Roman"/>
          <w:sz w:val="17"/>
        </w:rPr>
        <w:t>[10] A. F. Thielmann, M. Kumar, C. Weisser, and et al., "Mambular: A sequential model for tabular deep learning," arXiv preprint arXiv:2408.06291, 2024. https://doi.org/10.48550/arXiv.2408.06291</w:t>
      </w:r>
    </w:p>
    <w:p>
      <w:pPr>
        <w:pStyle w:val="IJASEITParagraph"/>
        <w:spacing w:line="252" w:lineRule="auto" w:after="60"/>
        <w:jc w:val="left"/>
      </w:pPr>
      <w:r>
        <w:rPr>
          <w:rFonts w:ascii="Times New Roman" w:hAnsi="Times New Roman"/>
          <w:sz w:val="17"/>
        </w:rPr>
        <w:t>[11] N. Hollmann, S. Müller, L. Purucker, and et al., "Accurate predictions on small data with a tabular foundation model," Nature, vol. 637, no. 8048, pp. 319-326, 2025. https://doi.org/10.1038/s41586-024-08328-6</w:t>
      </w:r>
    </w:p>
    <w:p>
      <w:pPr>
        <w:pStyle w:val="IJASEITParagraph"/>
        <w:spacing w:line="252" w:lineRule="auto" w:after="60"/>
        <w:jc w:val="left"/>
      </w:pPr>
      <w:r>
        <w:rPr>
          <w:rFonts w:ascii="Times New Roman" w:hAnsi="Times New Roman"/>
          <w:sz w:val="17"/>
        </w:rPr>
        <w:t>[12] J. Qu and et al., "TabICL: A tabular foundation model for in-context learning," arXiv preprint arXiv:2502.05584, 2025. https://doi.org/10.48550/arXiv.2502.05584</w:t>
      </w:r>
    </w:p>
    <w:p>
      <w:pPr>
        <w:pStyle w:val="IJASEITParagraph"/>
        <w:spacing w:line="252" w:lineRule="auto" w:after="60"/>
        <w:jc w:val="left"/>
      </w:pPr>
      <w:r>
        <w:rPr>
          <w:rFonts w:ascii="Times New Roman" w:hAnsi="Times New Roman"/>
          <w:sz w:val="17"/>
        </w:rPr>
        <w:t>[13] M. Sarhan, S. Layeghy, and M. Portmann, "Towards a standard feature set for network intrusion detection system datasets," Mobile Networks and Applications, vol. 27, no. 1, pp. 357-370, 2022. https://doi.org/10.1007/s11036-021-01843-0</w:t>
      </w:r>
    </w:p>
    <w:p>
      <w:pPr>
        <w:pStyle w:val="IJASEITParagraph"/>
        <w:spacing w:line="252" w:lineRule="auto" w:after="60"/>
        <w:jc w:val="left"/>
      </w:pPr>
      <w:r>
        <w:rPr>
          <w:rFonts w:ascii="Times New Roman" w:hAnsi="Times New Roman"/>
          <w:sz w:val="17"/>
        </w:rPr>
        <w:t>[14] G. Kutiel and et al., "Feasibility of State Space Models for Network Traffic Analysis," arXiv preprint arXiv:2407.12345, 2024. https://doi.org/10.48550/arXiv.2407.12345</w:t>
      </w:r>
    </w:p>
    <w:p>
      <w:pPr>
        <w:pStyle w:val="IJASEITParagraph"/>
        <w:spacing w:line="252" w:lineRule="auto" w:after="60"/>
        <w:jc w:val="left"/>
      </w:pPr>
      <w:r>
        <w:rPr>
          <w:rFonts w:ascii="Times New Roman" w:hAnsi="Times New Roman"/>
          <w:sz w:val="17"/>
        </w:rPr>
        <w:t>[15] D. L. Goodhue and R. L. Thompson, "Task-Technology Fit and Individual Performance," MIS Quarterly, vol. 19, no. 2, pp. 213-236, 1995. https://doi.org/10.2307/249689</w:t>
      </w:r>
    </w:p>
    <w:p>
      <w:pPr>
        <w:pStyle w:val="IJASEITParagraph"/>
        <w:spacing w:line="252" w:lineRule="auto" w:after="60"/>
        <w:jc w:val="left"/>
      </w:pPr>
      <w:r>
        <w:rPr>
          <w:rFonts w:ascii="Times New Roman" w:hAnsi="Times New Roman"/>
          <w:sz w:val="17"/>
        </w:rPr>
        <w:t>[16] A. R. Hevner, S. T. March, J. Park, and S. Ram, "Design Science in Information Systems Research," MIS Quarterly, vol. 28, no. 1, pp. 75-105, 2004. https://doi.org/10.2307/25148625</w:t>
      </w:r>
    </w:p>
    <w:p>
      <w:pPr>
        <w:pStyle w:val="IJASEITParagraph"/>
        <w:spacing w:line="252" w:lineRule="auto" w:after="60"/>
        <w:jc w:val="left"/>
      </w:pPr>
      <w:r>
        <w:rPr>
          <w:rFonts w:ascii="Times New Roman" w:hAnsi="Times New Roman"/>
          <w:sz w:val="17"/>
        </w:rPr>
        <w:t>[17] M. Lanvin, P.-F. Gimenez, Y. Han, and et al., "Errors in the CICIDS2017 dataset and the significance on evaluation results," arXiv preprint arXiv:2209.03188, 2022. https://doi.org/10.48550/arXiv.2209.03188</w:t>
      </w:r>
    </w:p>
    <w:p>
      <w:pPr>
        <w:pStyle w:val="IJASEITParagraph"/>
        <w:spacing w:line="252" w:lineRule="auto" w:after="60"/>
        <w:jc w:val="left"/>
      </w:pPr>
      <w:r>
        <w:rPr>
          <w:rFonts w:ascii="Times New Roman" w:hAnsi="Times New Roman"/>
          <w:sz w:val="17"/>
        </w:rPr>
        <w:t>[18] M. Al-Hawawreh, E. Sitnikova, and N. Aboutorab, "TON_IoT Telemetry Dataset: A New Generation Dataset of IoT and IIoT Systems for Data-Driven Intrusion Detection," IEEE Access, vol. 8, pp. 165798-165813, 2020. https://doi.org/10.1109/ACCESS.2020.3022645</w:t>
      </w:r>
    </w:p>
    <w:p>
      <w:pPr>
        <w:pStyle w:val="IJASEITParagraph"/>
        <w:spacing w:line="252" w:lineRule="auto" w:after="60"/>
        <w:jc w:val="left"/>
      </w:pPr>
      <w:r>
        <w:rPr>
          <w:rFonts w:ascii="Times New Roman" w:hAnsi="Times New Roman"/>
          <w:sz w:val="17"/>
        </w:rPr>
        <w:t>[19] I. Sharafaldin, A. H. Lashkari, S. Hakak, and A. A. Ghorbani, "Developing realistic distributed denial of service (DDoS) attack dataset and taxonomy," in IEEE 53rd Annual International Carnahan Conference on Security Technology (ICCST), 2019. https://doi.org/10.1109/CCST.2019.8888419</w:t>
      </w:r>
    </w:p>
    <w:p>
      <w:pPr>
        <w:pStyle w:val="IJASEITParagraph"/>
        <w:spacing w:line="252" w:lineRule="auto" w:after="60"/>
        <w:jc w:val="left"/>
      </w:pPr>
      <w:r>
        <w:rPr>
          <w:rFonts w:ascii="Times New Roman" w:hAnsi="Times New Roman"/>
          <w:sz w:val="17"/>
        </w:rPr>
        <w:t>[20] G. Engelen, V. Rimmer, and W. Joosen, "Troubleshooting an intrusion detection dataset: The CICIDS2017 case study," in IEEE Security &amp; Privacy Workshops (SPW), pp. 7-12, 2021. https://doi.org/10.1109/SPW53761.2021.00011</w:t>
      </w:r>
    </w:p>
    <w:p>
      <w:pPr>
        <w:pStyle w:val="IJASEITParagraph"/>
        <w:spacing w:line="252" w:lineRule="auto" w:after="60"/>
        <w:jc w:val="left"/>
      </w:pPr>
      <w:r>
        <w:rPr>
          <w:rFonts w:ascii="Times New Roman" w:hAnsi="Times New Roman"/>
          <w:sz w:val="17"/>
        </w:rPr>
        <w:t>[21] J. Demšar, "Statistical comparisons of classifiers over multiple data sets," Journal of Machine Learning Research, vol. 7, pp. 1-30, 2006. https://www.jmlr.org/papers/v7/demsar06a.html</w:t>
      </w:r>
    </w:p>
    <w:p>
      <w:pPr>
        <w:pStyle w:val="IJASEITParagraph"/>
        <w:spacing w:line="252" w:lineRule="auto" w:after="60"/>
        <w:jc w:val="left"/>
      </w:pPr>
      <w:r>
        <w:rPr>
          <w:rFonts w:ascii="Times New Roman" w:hAnsi="Times New Roman"/>
          <w:sz w:val="17"/>
        </w:rPr>
        <w:t>[22] A. Gabus and E. Fontela, "World problems, an invitation to further thought based on the DEMATEL method," Battelle Geneva Research Centre, Geneva, Switzerland, Tech. Rep., 1973.</w:t>
      </w:r>
    </w:p>
    <w:p>
      <w:pPr>
        <w:pStyle w:val="IJASEITParagraph"/>
        <w:spacing w:line="252" w:lineRule="auto" w:after="60"/>
        <w:jc w:val="left"/>
      </w:pPr>
      <w:r>
        <w:rPr>
          <w:rFonts w:ascii="Times New Roman" w:hAnsi="Times New Roman"/>
          <w:sz w:val="17"/>
        </w:rPr>
        <w:t>[23] L. A. Zadeh, "Fuzzy sets," Information and Control, vol. 8, no. 3, pp. 338-353, 1965. https://doi.org/10.1016/S0019-9958(65)90241-X</w:t>
      </w:r>
    </w:p>
    <w:p>
      <w:pPr>
        <w:pStyle w:val="IJASEITParagraph"/>
        <w:spacing w:line="252" w:lineRule="auto" w:after="60"/>
        <w:jc w:val="left"/>
      </w:pPr>
      <w:r>
        <w:rPr>
          <w:rFonts w:ascii="Times New Roman" w:hAnsi="Times New Roman"/>
          <w:sz w:val="17"/>
        </w:rPr>
        <w:t>[24] M. Tavana and et al., "Fuzzy DEMATEL: A systematic review and future research directions," Decision Analytics Journal, vol. 8, p. 100277, 2023. https://doi.org/10.1016/j.dajour.2023.100277</w:t>
      </w:r>
    </w:p>
    <w:p>
      <w:pPr>
        <w:pStyle w:val="IJASEITParagraph"/>
        <w:spacing w:line="252" w:lineRule="auto" w:after="60"/>
        <w:jc w:val="left"/>
      </w:pPr>
      <w:r>
        <w:rPr>
          <w:rFonts w:ascii="Times New Roman" w:hAnsi="Times New Roman"/>
          <w:sz w:val="17"/>
        </w:rPr>
        <w:t>[25] S. Shimizu, P. O. Hoyer, A. Hyvärinen, and A. Kerminen, "A linear non-Gaussian acyclic model for causal discovery," Journal of Machine Learning Research, vol. 7, pp. 2003-2030, 2006. https://www.jmlr.org/papers/v7/shimizu06a.html</w:t>
      </w:r>
    </w:p>
    <w:p>
      <w:pPr>
        <w:pStyle w:val="IJASEITParagraph"/>
        <w:spacing w:line="252" w:lineRule="auto" w:after="60"/>
        <w:jc w:val="left"/>
      </w:pPr>
      <w:r>
        <w:rPr>
          <w:rFonts w:ascii="Times New Roman" w:hAnsi="Times New Roman"/>
          <w:sz w:val="17"/>
        </w:rPr>
        <w:t>[26] L. Guerra and et al., "Self-supervised learning of graph representations for network intrusion detection," in Advances in Neural Information Processing Systems (NeurIPS), vol. 37, 2024. https://proceedings.neurips.cc</w:t>
      </w:r>
    </w:p>
    <w:p>
      <w:pPr>
        <w:pStyle w:val="IJASEITParagraph"/>
        <w:spacing w:line="252" w:lineRule="auto" w:after="60"/>
        <w:jc w:val="left"/>
      </w:pPr>
      <w:r>
        <w:rPr>
          <w:rFonts w:ascii="Times New Roman" w:hAnsi="Times New Roman"/>
          <w:sz w:val="17"/>
        </w:rPr>
        <w:t>[27] L. Wu and et al., "Graph neural networks in network security: A comprehensive survey," ACM Computing Surveys, vol. 55, no. 4, pp. 1-37, 2022. https://doi.org/10.1145/3527154</w:t>
      </w:r>
    </w:p>
    <w:p>
      <w:pPr>
        <w:pStyle w:val="IJASEITParagraph"/>
        <w:spacing w:line="252" w:lineRule="auto" w:after="60"/>
        <w:jc w:val="left"/>
      </w:pPr>
      <w:r>
        <w:rPr>
          <w:rFonts w:ascii="Times New Roman" w:hAnsi="Times New Roman"/>
          <w:sz w:val="17"/>
        </w:rPr>
        <w:t>[28] Q. Dong, L. Li, D. Dai, and et al., "A Survey on In-Context Learning," arXiv preprint arXiv:2301.00234, 2024. https://doi.org/10.48550/arXiv.2301.00234</w:t>
      </w:r>
    </w:p>
    <w:p>
      <w:pPr>
        <w:pStyle w:val="IJASEITParagraph"/>
        <w:spacing w:line="252" w:lineRule="auto" w:after="60"/>
        <w:jc w:val="left"/>
      </w:pPr>
      <w:r>
        <w:rPr>
          <w:rFonts w:ascii="Times New Roman" w:hAnsi="Times New Roman"/>
          <w:sz w:val="17"/>
        </w:rPr>
        <w:t>[29] A. Chekry, J. Bakkas, and M. D. Rahmani, "PyDEMATEL: A Python-based tool implementing DEMATEL methods for multi-criteria decision making," SoftwareX, vol. 26, p. 101740, 2024. https://doi.org/10.1016/j.softx.2024.101740</w:t>
      </w:r>
    </w:p>
    <w:p>
      <w:pPr>
        <w:pStyle w:val="IJASEITParagraph"/>
        <w:spacing w:line="252" w:lineRule="auto" w:after="60"/>
        <w:jc w:val="left"/>
      </w:pPr>
      <w:r>
        <w:rPr>
          <w:rFonts w:ascii="Times New Roman" w:hAnsi="Times New Roman"/>
          <w:sz w:val="17"/>
        </w:rPr>
        <w:t>[30] P. Valdecy, "pyDecision: A comprehensive library for multi-criteria decision making in Python," Journal of Open Source Software, vol. 8, no. 89, p. 5594, 2023. https://doi.org/10.21105/joss.05594</w:t>
      </w:r>
    </w:p>
    <w:p>
      <w:pPr>
        <w:pStyle w:val="IJASEITParagraph"/>
        <w:spacing w:line="252" w:lineRule="auto" w:after="60"/>
        <w:jc w:val="left"/>
      </w:pPr>
      <w:r>
        <w:rPr>
          <w:rFonts w:ascii="Times New Roman" w:hAnsi="Times New Roman"/>
          <w:sz w:val="17"/>
        </w:rPr>
        <w:t>[31] A. Benavoli, G. Corani, J. Demšar, and M. Zaffalon, "Time for a change: a tutorial for comparing multiple classifiers through Bayesian analysis," Journal of Machine Learning Research, vol. 18, no. 77, pp. 1-36, 2017. https://jmlr.org/papers/v18/16-305.html</w:t>
      </w:r>
    </w:p>
    <w:p>
      <w:pPr>
        <w:pStyle w:val="IJASEITParagraph"/>
        <w:spacing w:line="252" w:lineRule="auto" w:after="60"/>
        <w:jc w:val="left"/>
      </w:pPr>
      <w:r>
        <w:rPr>
          <w:rFonts w:ascii="Times New Roman" w:hAnsi="Times New Roman"/>
          <w:sz w:val="17"/>
        </w:rPr>
        <w:t>[32] X. Zhang and et al., "Adversarial Attacks Against Deep Learning-Based Network Intrusion Detection Systems: A Survey," IEEE Communications Surveys &amp; Tutorials, vol. 24, no. 4, pp. 2659-2692, 2022. https://doi.org/10.1109/COMST.2022.3204347</w:t>
      </w:r>
    </w:p>
    <w:p>
      <w:pPr>
        <w:pStyle w:val="IJASEITParagraph"/>
        <w:spacing w:line="252" w:lineRule="auto" w:after="60"/>
        <w:jc w:val="left"/>
      </w:pPr>
      <w:r>
        <w:rPr>
          <w:rFonts w:ascii="Times New Roman" w:hAnsi="Times New Roman"/>
          <w:sz w:val="17"/>
        </w:rPr>
        <w:t>[33] P. Kumar and A. Sharma, "Explainable AI for cyber defense using Shapley Additive Explanations," Computers &amp; Security, vol. 112, p. 102518, 2022. https://doi.org/10.1016/j.cose.2021.102518</w:t>
      </w:r>
    </w:p>
    <w:p>
      <w:pPr>
        <w:pStyle w:val="IJASEITParagraph"/>
        <w:spacing w:line="252" w:lineRule="auto" w:after="60"/>
        <w:jc w:val="left"/>
      </w:pPr>
      <w:r>
        <w:rPr>
          <w:rFonts w:ascii="Times New Roman" w:hAnsi="Times New Roman"/>
          <w:sz w:val="17"/>
        </w:rPr>
        <w:t>[34] M. A. Ferrag and et al., "Edge-IIoTset: A new comprehensive realistic cyber security dataset of IoT and IIoT applications," IEEE Access, vol. 10, pp. 31658-31681, 2022. https://doi.org/10.1109/ACCESS.2022.3165809</w:t>
      </w:r>
    </w:p>
    <w:p>
      <w:pPr>
        <w:pStyle w:val="IJASEITParagraph"/>
        <w:spacing w:line="252" w:lineRule="auto" w:after="60"/>
        <w:jc w:val="left"/>
      </w:pPr>
      <w:r>
        <w:rPr>
          <w:rFonts w:ascii="Times New Roman" w:hAnsi="Times New Roman"/>
          <w:sz w:val="17"/>
        </w:rPr>
        <w:t>[35] S. Ö. Arık and T. Pfister, "TabNet: Attentive interpretable tabular learning," in AAAI Conference on Artificial Intelligence, vol. 35, no. 8, pp. 6679-6687, 2021. https://doi.org/10.1609/aaai.v35i8.17063</w:t>
      </w:r>
    </w:p>
    <w:sectPr w:rsidR="002A19DA" w:rsidSect="004B47F5">
      <w:headerReference w:type="default" r:id="rId16"/>
      <w:footerReference w:type="default" r:id="rId17"/>
      <w:headerReference w:type="first" r:id="rId18"/>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EEF1E" w14:textId="77777777" w:rsidR="00130A8A" w:rsidRDefault="00130A8A" w:rsidP="002A19DA">
      <w:pPr>
        <w:spacing w:after="0" w:line="240" w:lineRule="auto"/>
      </w:pPr>
      <w:r>
        <w:separator/>
      </w:r>
    </w:p>
  </w:endnote>
  <w:endnote w:type="continuationSeparator" w:id="0">
    <w:p w14:paraId="3C5D6504" w14:textId="77777777" w:rsidR="00130A8A" w:rsidRDefault="00130A8A" w:rsidP="002A19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C824E" w14:textId="26E02CA3" w:rsidR="00F97536" w:rsidRPr="00641EAA" w:rsidRDefault="0012024A" w:rsidP="00F97536">
    <w:pPr>
      <w:pStyle w:val="Footer"/>
      <w:jc w:val="center"/>
    </w:pPr>
    <w:r w:rsidRPr="0073088A">
      <w:rPr>
        <w:rFonts w:ascii="Times New Roman" w:hAnsi="Times New Roman"/>
        <w:noProof/>
        <w:lang w:val="id-ID" w:eastAsia="id-ID"/>
      </w:rPr>
      <mc:AlternateContent>
        <mc:Choice Requires="wps">
          <w:drawing>
            <wp:anchor distT="0" distB="0" distL="114300" distR="114300" simplePos="0" relativeHeight="251659264" behindDoc="0" locked="0" layoutInCell="1" allowOverlap="1" wp14:anchorId="2F547DF3" wp14:editId="19624B0E">
              <wp:simplePos x="0" y="0"/>
              <wp:positionH relativeFrom="margin">
                <wp:posOffset>-589915</wp:posOffset>
              </wp:positionH>
              <wp:positionV relativeFrom="paragraph">
                <wp:posOffset>-66675</wp:posOffset>
              </wp:positionV>
              <wp:extent cx="6858000" cy="0"/>
              <wp:effectExtent l="0" t="19050" r="38100" b="3810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58000" cy="0"/>
                      </a:xfrm>
                      <a:prstGeom prst="line">
                        <a:avLst/>
                      </a:prstGeom>
                      <a:noFill/>
                      <a:ln w="57150" cap="flat" cmpd="dbl" algn="ctr">
                        <a:solidFill>
                          <a:schemeClr val="tx1"/>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B8A156A"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6.45pt,-5.25pt" to="493.55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62g2AEAAJoDAAAOAAAAZHJzL2Uyb0RvYy54bWysU01v2zAMvQ/YfxB0b+y0SBcYcXpI0F2K&#10;LUC23hlZsoXqC5IWO/9+pJIl63YbdhFEkX7ke3xePU3WsKOMSXvX8vms5kw64Tvt+pZ///Z8t+Qs&#10;ZXAdGO9ky08y8af1xw+rMTTy3g/edDIyBHGpGUPLh5xDU1VJDNJCmvkgHSaVjxYyhrGvuggjoltT&#10;3df1YzX62IXohUwJX7fnJF8XfKWkyF+VSjIz03KcLZczlvNAZ7VeQdNHCIMWlzHgH6awoB02vUJt&#10;IQP7EfVfUFaL6JNXeSa8rbxSWsjCAdnM6z/Y7AcIsnBBcVK4ypT+H6z4ctxFpruWP3DmwOKK9jmC&#10;7ofMNt45FNBH9kA6jSE1WL5xu0hMxeT24cWLt4S56l2SghTOZZOKlimjwyvao0iEpNlUNnC6bkBO&#10;mQl8fFwulnWNixK/chU0BEEdQ0z5s/SW0aXlRjsSBxo4vqRMQ9xK6Nn5Z21MWbBxbGz54tN8QdCA&#10;PlMGMl5tQObdwXAGpkcDixwLZPJGd/Q5ARUzyo2J7AhoozzNSQ7s9q6KhtpCGs5FJXV2l9UZLW60&#10;bTlxQ3bnr40jcFlMeiFwE45uB9+ddpGKKUIDlKYXs5LDfo9L1e2XWv8EAAD//wMAUEsDBBQABgAI&#10;AAAAIQB7m7uS3gAAAAsBAAAPAAAAZHJzL2Rvd25yZXYueG1sTI9NT8MwDIbvSPyHyEjctrSVgLVr&#10;OjHQhsSNsQu3rPHSao1Tmmwt/x4jIcHNH49ePy5Xk+vEBYfQelKQzhMQSLU3LVkF+/fNbAEiRE1G&#10;d55QwRcGWFXXV6UujB/pDS+7aAWHUCi0gibGvpAy1A06Hea+R+Ld0Q9OR24HK82gRw53ncyS5F46&#10;3RJfaHSPTw3Wp93ZKVij3Zq1e37dnj7iJhs+7Yvcj0rd3kyPSxARp/gHw48+q0PFTgd/JhNEp2CW&#10;ZzmjXKTJHQgm8sVDCuLwO5FVKf//UH0DAAD//wMAUEsBAi0AFAAGAAgAAAAhALaDOJL+AAAA4QEA&#10;ABMAAAAAAAAAAAAAAAAAAAAAAFtDb250ZW50X1R5cGVzXS54bWxQSwECLQAUAAYACAAAACEAOP0h&#10;/9YAAACUAQAACwAAAAAAAAAAAAAAAAAvAQAAX3JlbHMvLnJlbHNQSwECLQAUAAYACAAAACEACpet&#10;oNgBAACaAwAADgAAAAAAAAAAAAAAAAAuAgAAZHJzL2Uyb0RvYy54bWxQSwECLQAUAAYACAAAACEA&#10;e5u7kt4AAAALAQAADwAAAAAAAAAAAAAAAAAyBAAAZHJzL2Rvd25yZXYueG1sUEsFBgAAAAAEAAQA&#10;8wAAAD0FAAAAAA==&#10;" strokecolor="black [3213]" strokeweight="4.5pt">
              <v:stroke linestyle="thinThin" joinstyle="miter"/>
              <o:lock v:ext="edit" shapetype="f"/>
              <w10:wrap anchorx="margin"/>
            </v:line>
          </w:pict>
        </mc:Fallback>
      </mc:AlternateContent>
    </w:r>
    <w:r w:rsidR="00834E26" w:rsidRPr="00834E26">
      <w:rPr>
        <w:rFonts w:ascii="Times New Roman" w:hAnsi="Times New Roman"/>
        <w:noProof/>
        <w:lang w:val="id-ID" w:eastAsia="id-ID"/>
      </w:rPr>
      <w:t xml:space="preserve"> </w:t>
    </w:r>
    <w:r w:rsidR="00834E26" w:rsidRPr="00130961">
      <w:rPr>
        <w:rFonts w:ascii="Times New Roman" w:hAnsi="Times New Roman"/>
        <w:noProof/>
        <w:lang w:val="id-ID" w:eastAsia="id-ID"/>
      </w:rPr>
      <w:t xml:space="preserve">JITSI : Jurnal Ilmiah Teknologi Sistem Informasi, Volume </w:t>
    </w:r>
    <w:r w:rsidR="004B47F5">
      <w:rPr>
        <w:rFonts w:ascii="Times New Roman" w:hAnsi="Times New Roman"/>
        <w:noProof/>
        <w:lang w:val="en-US" w:eastAsia="id-ID"/>
      </w:rPr>
      <w:t>x</w:t>
    </w:r>
    <w:r w:rsidR="00834E26" w:rsidRPr="00130961">
      <w:rPr>
        <w:rFonts w:ascii="Times New Roman" w:hAnsi="Times New Roman"/>
        <w:noProof/>
        <w:lang w:val="id-ID" w:eastAsia="id-ID"/>
      </w:rPr>
      <w:t xml:space="preserve"> No </w:t>
    </w:r>
    <w:r w:rsidR="004B47F5">
      <w:rPr>
        <w:rFonts w:ascii="Times New Roman" w:hAnsi="Times New Roman"/>
        <w:noProof/>
        <w:lang w:val="en-US" w:eastAsia="id-ID"/>
      </w:rPr>
      <w:t>x</w:t>
    </w:r>
    <w:r w:rsidR="00834E26" w:rsidRPr="00130961">
      <w:rPr>
        <w:rFonts w:ascii="Times New Roman" w:hAnsi="Times New Roman"/>
        <w:noProof/>
        <w:lang w:val="id-ID" w:eastAsia="id-ID"/>
      </w:rPr>
      <w:t xml:space="preserve">, March </w:t>
    </w:r>
    <w:r w:rsidR="004B47F5">
      <w:rPr>
        <w:rFonts w:ascii="Times New Roman" w:hAnsi="Times New Roman"/>
        <w:noProof/>
        <w:lang w:val="en-US" w:eastAsia="id-ID"/>
      </w:rPr>
      <w:t>xxxx</w:t>
    </w:r>
    <w:r w:rsidR="00834E26" w:rsidRPr="00130961">
      <w:rPr>
        <w:rFonts w:ascii="Times New Roman" w:hAnsi="Times New Roman"/>
        <w:noProof/>
        <w:lang w:val="id-ID" w:eastAsia="id-ID"/>
      </w:rPr>
      <w:t xml:space="preserve"> Hal </w:t>
    </w:r>
    <w:r w:rsidR="004B47F5">
      <w:rPr>
        <w:rFonts w:ascii="Times New Roman" w:hAnsi="Times New Roman"/>
        <w:noProof/>
        <w:lang w:val="en-US" w:eastAsia="id-ID"/>
      </w:rPr>
      <w:t>x</w:t>
    </w:r>
    <w:r w:rsidR="00834E26">
      <w:rPr>
        <w:rFonts w:ascii="Times New Roman" w:hAnsi="Times New Roman"/>
        <w:noProof/>
        <w:lang w:val="en-US" w:eastAsia="id-ID"/>
      </w:rPr>
      <w:t xml:space="preserve"> - </w:t>
    </w:r>
    <w:r w:rsidR="004B47F5">
      <w:rPr>
        <w:rFonts w:ascii="Times New Roman" w:hAnsi="Times New Roman"/>
        <w:noProof/>
        <w:lang w:val="en-US" w:eastAsia="id-ID"/>
      </w:rPr>
      <w:t>xx</w:t>
    </w:r>
  </w:p>
  <w:p w14:paraId="37EF7BE5" w14:textId="77777777" w:rsidR="00F97536" w:rsidRDefault="00F975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2ACC2" w14:textId="77777777" w:rsidR="00130A8A" w:rsidRDefault="00130A8A" w:rsidP="002A19DA">
      <w:pPr>
        <w:spacing w:after="0" w:line="240" w:lineRule="auto"/>
      </w:pPr>
      <w:r>
        <w:separator/>
      </w:r>
    </w:p>
  </w:footnote>
  <w:footnote w:type="continuationSeparator" w:id="0">
    <w:p w14:paraId="387E0EE4" w14:textId="77777777" w:rsidR="00130A8A" w:rsidRDefault="00130A8A" w:rsidP="002A19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0"/>
      <w:tblW w:w="0" w:type="auto"/>
      <w:jc w:val="center"/>
      <w:tblBorders>
        <w:top w:val="none" w:sz="0" w:space="0" w:color="auto"/>
        <w:left w:val="none" w:sz="0" w:space="0" w:color="auto"/>
        <w:bottom w:val="none" w:sz="0" w:space="0" w:color="auto"/>
        <w:right w:val="none" w:sz="0" w:space="0" w:color="auto"/>
        <w:insideH w:val="none" w:sz="0" w:space="0" w:color="auto"/>
        <w:insideV w:val="single" w:sz="12" w:space="0" w:color="4472C4" w:themeColor="accent1"/>
      </w:tblBorders>
      <w:tblLook w:val="04A0" w:firstRow="1" w:lastRow="0" w:firstColumn="1" w:lastColumn="0" w:noHBand="0" w:noVBand="1"/>
    </w:tblPr>
    <w:tblGrid>
      <w:gridCol w:w="8500"/>
      <w:gridCol w:w="516"/>
    </w:tblGrid>
    <w:tr w:rsidR="00CB1A88" w14:paraId="42687CC3" w14:textId="77777777" w:rsidTr="00A46D80">
      <w:trPr>
        <w:jc w:val="center"/>
      </w:trPr>
      <w:tc>
        <w:tcPr>
          <w:tcW w:w="8500" w:type="dxa"/>
          <w:tcBorders>
            <w:right w:val="single" w:sz="12" w:space="0" w:color="auto"/>
          </w:tcBorders>
        </w:tcPr>
        <w:p w14:paraId="54832611" w14:textId="18FE313C" w:rsidR="00CB1A88" w:rsidRPr="00F97536" w:rsidRDefault="00CB1A88" w:rsidP="00CB1A88">
          <w:pPr>
            <w:pStyle w:val="Header"/>
            <w:jc w:val="right"/>
            <w:rPr>
              <w:rFonts w:ascii="Times New Roman" w:hAnsi="Times New Roman"/>
              <w:bCs/>
              <w:i/>
              <w:iCs/>
              <w:sz w:val="18"/>
              <w:szCs w:val="18"/>
              <w:lang w:val="en-US"/>
            </w:rPr>
          </w:pPr>
          <w:r>
            <w:rPr>
              <w:rFonts w:ascii="Times New Roman" w:hAnsi="Times New Roman"/>
              <w:lang w:val="en-US"/>
            </w:rPr>
            <w:t xml:space="preserve">Author’s </w:t>
          </w:r>
          <w:r>
            <w:rPr>
              <w:rFonts w:ascii="Times New Roman" w:hAnsi="Times New Roman"/>
            </w:rPr>
            <w:t>name</w:t>
          </w:r>
        </w:p>
      </w:tc>
      <w:tc>
        <w:tcPr>
          <w:tcW w:w="516" w:type="dxa"/>
          <w:vMerge w:val="restart"/>
          <w:tcBorders>
            <w:left w:val="single" w:sz="12" w:space="0" w:color="auto"/>
          </w:tcBorders>
          <w:vAlign w:val="center"/>
        </w:tcPr>
        <w:p w14:paraId="46583EA8" w14:textId="50C2407E" w:rsidR="00CB1A88" w:rsidRPr="002A19DA" w:rsidRDefault="00CB1A88" w:rsidP="00CB1A88">
          <w:pPr>
            <w:pStyle w:val="Header"/>
            <w:jc w:val="center"/>
            <w:rPr>
              <w:rFonts w:ascii="Times New Roman" w:hAnsi="Times New Roman"/>
              <w:b/>
              <w:i/>
              <w:iCs/>
              <w:sz w:val="24"/>
              <w:szCs w:val="24"/>
              <w:lang w:val="en-US"/>
            </w:rPr>
          </w:pPr>
          <w:r w:rsidRPr="002A19DA">
            <w:rPr>
              <w:rFonts w:ascii="Times New Roman" w:hAnsi="Times New Roman"/>
              <w:sz w:val="24"/>
              <w:szCs w:val="24"/>
            </w:rPr>
            <w:fldChar w:fldCharType="begin"/>
          </w:r>
          <w:r w:rsidRPr="002A19DA">
            <w:rPr>
              <w:rFonts w:ascii="Times New Roman" w:hAnsi="Times New Roman"/>
              <w:sz w:val="24"/>
              <w:szCs w:val="24"/>
            </w:rPr>
            <w:instrText xml:space="preserve"> PAGE   \* MERGEFORMAT </w:instrText>
          </w:r>
          <w:r w:rsidRPr="002A19DA">
            <w:rPr>
              <w:rFonts w:ascii="Times New Roman" w:hAnsi="Times New Roman"/>
              <w:sz w:val="24"/>
              <w:szCs w:val="24"/>
            </w:rPr>
            <w:fldChar w:fldCharType="separate"/>
          </w:r>
          <w:r w:rsidRPr="002A19DA">
            <w:rPr>
              <w:rFonts w:ascii="Times New Roman" w:hAnsi="Times New Roman"/>
              <w:sz w:val="24"/>
              <w:szCs w:val="24"/>
            </w:rPr>
            <w:t>2</w:t>
          </w:r>
          <w:r w:rsidRPr="002A19DA">
            <w:rPr>
              <w:rFonts w:ascii="Times New Roman" w:hAnsi="Times New Roman"/>
              <w:noProof/>
              <w:sz w:val="24"/>
              <w:szCs w:val="24"/>
            </w:rPr>
            <w:fldChar w:fldCharType="end"/>
          </w:r>
        </w:p>
      </w:tc>
    </w:tr>
    <w:tr w:rsidR="00CB1A88" w14:paraId="304A0993" w14:textId="77777777" w:rsidTr="00A46D80">
      <w:trPr>
        <w:jc w:val="center"/>
      </w:trPr>
      <w:tc>
        <w:tcPr>
          <w:tcW w:w="8500" w:type="dxa"/>
          <w:tcBorders>
            <w:right w:val="single" w:sz="12" w:space="0" w:color="auto"/>
          </w:tcBorders>
        </w:tcPr>
        <w:p w14:paraId="1AFBD85D" w14:textId="067B2D04" w:rsidR="00CB1A88" w:rsidRPr="00F97536" w:rsidRDefault="00CB1A88" w:rsidP="00CB1A88">
          <w:pPr>
            <w:pStyle w:val="Header"/>
            <w:jc w:val="right"/>
            <w:rPr>
              <w:rFonts w:ascii="Times New Roman" w:hAnsi="Times New Roman"/>
              <w:bCs/>
              <w:i/>
              <w:iCs/>
              <w:sz w:val="18"/>
              <w:szCs w:val="18"/>
              <w:lang w:val="en-US"/>
            </w:rPr>
          </w:pPr>
          <w:r>
            <w:rPr>
              <w:rFonts w:ascii="Times New Roman" w:hAnsi="Times New Roman"/>
            </w:rPr>
            <w:t>Title - Not more than 12 Times New Roman words</w:t>
          </w:r>
        </w:p>
      </w:tc>
      <w:tc>
        <w:tcPr>
          <w:tcW w:w="516" w:type="dxa"/>
          <w:vMerge/>
          <w:tcBorders>
            <w:left w:val="single" w:sz="12" w:space="0" w:color="auto"/>
          </w:tcBorders>
        </w:tcPr>
        <w:p w14:paraId="4AA8296D" w14:textId="77777777" w:rsidR="00CB1A88" w:rsidRDefault="00CB1A88" w:rsidP="00CB1A88">
          <w:pPr>
            <w:pStyle w:val="Header"/>
            <w:jc w:val="right"/>
            <w:rPr>
              <w:rFonts w:ascii="Times New Roman" w:hAnsi="Times New Roman"/>
              <w:b/>
              <w:i/>
              <w:iCs/>
              <w:lang w:val="en-US"/>
            </w:rPr>
          </w:pPr>
        </w:p>
      </w:tc>
    </w:tr>
  </w:tbl>
  <w:p w14:paraId="4981B9D8" w14:textId="29BC5D31" w:rsidR="002A19DA" w:rsidRDefault="002A19DA" w:rsidP="00F9753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DE650" w14:textId="77777777" w:rsidR="00C120CF" w:rsidRDefault="00544404">
    <w:pPr>
      <w:pStyle w:val="Header"/>
    </w:pPr>
    <w:r>
      <w:fldChar w:fldCharType="begin"/>
    </w:r>
    <w:r>
      <w:instrText xml:space="preserve"> PAGE   \* MERGEFORMAT </w:instrText>
    </w:r>
    <w:r>
      <w:fldChar w:fldCharType="separate"/>
    </w:r>
    <w:r>
      <w:rPr>
        <w:noProof/>
      </w:rPr>
      <w:t>34</w:t>
    </w:r>
    <w:r>
      <w:rPr>
        <w:noProof/>
      </w:rPr>
      <w:fldChar w:fldCharType="end"/>
    </w:r>
  </w:p>
  <w:p w14:paraId="2FC94CED" w14:textId="77777777" w:rsidR="00C120CF" w:rsidRDefault="00000000">
    <w:pPr>
      <w:pStyle w:val="Header"/>
    </w:pPr>
  </w:p>
  <w:p w14:paraId="5898ECF9" w14:textId="77777777" w:rsidR="00C120CF" w:rsidRDefault="0000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630778"/>
    <w:multiLevelType w:val="hybridMultilevel"/>
    <w:tmpl w:val="5C386330"/>
    <w:lvl w:ilvl="0" w:tplc="2B04B55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36D7C3A"/>
    <w:multiLevelType w:val="hybridMultilevel"/>
    <w:tmpl w:val="05F00136"/>
    <w:lvl w:ilvl="0" w:tplc="2B04B55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623E3805"/>
    <w:multiLevelType w:val="multilevel"/>
    <w:tmpl w:val="623E3805"/>
    <w:lvl w:ilvl="0">
      <w:start w:val="1"/>
      <w:numFmt w:val="lowerLetter"/>
      <w:lvlText w:val="%1."/>
      <w:lvlJc w:val="left"/>
      <w:pPr>
        <w:ind w:left="720" w:hanging="360"/>
      </w:pPr>
      <w:rPr>
        <w:strike w:val="0"/>
        <w:dstrike w:val="0"/>
        <w:u w:val="none"/>
        <w:effect w:val="none"/>
      </w:rPr>
    </w:lvl>
    <w:lvl w:ilvl="1">
      <w:start w:val="1"/>
      <w:numFmt w:val="lowerRoman"/>
      <w:lvlText w:val="%2."/>
      <w:lvlJc w:val="right"/>
      <w:pPr>
        <w:ind w:left="1440" w:hanging="360"/>
      </w:pPr>
      <w:rPr>
        <w:strike w:val="0"/>
        <w:dstrike w:val="0"/>
        <w:u w:val="none"/>
        <w:effect w:val="none"/>
      </w:rPr>
    </w:lvl>
    <w:lvl w:ilvl="2">
      <w:start w:val="1"/>
      <w:numFmt w:val="decimal"/>
      <w:lvlText w:val="%3."/>
      <w:lvlJc w:val="left"/>
      <w:pPr>
        <w:ind w:left="2160" w:hanging="360"/>
      </w:pPr>
      <w:rPr>
        <w:strike w:val="0"/>
        <w:dstrike w:val="0"/>
        <w:u w:val="none"/>
        <w:effect w:val="none"/>
      </w:rPr>
    </w:lvl>
    <w:lvl w:ilvl="3">
      <w:start w:val="1"/>
      <w:numFmt w:val="lowerLetter"/>
      <w:lvlText w:val="%4."/>
      <w:lvlJc w:val="left"/>
      <w:pPr>
        <w:ind w:left="2880" w:hanging="360"/>
      </w:pPr>
      <w:rPr>
        <w:strike w:val="0"/>
        <w:dstrike w:val="0"/>
        <w:u w:val="none"/>
        <w:effect w:val="none"/>
      </w:rPr>
    </w:lvl>
    <w:lvl w:ilvl="4">
      <w:start w:val="1"/>
      <w:numFmt w:val="lowerRoman"/>
      <w:lvlText w:val="%5."/>
      <w:lvlJc w:val="right"/>
      <w:pPr>
        <w:ind w:left="3600" w:hanging="360"/>
      </w:pPr>
      <w:rPr>
        <w:strike w:val="0"/>
        <w:dstrike w:val="0"/>
        <w:u w:val="none"/>
        <w:effect w:val="none"/>
      </w:rPr>
    </w:lvl>
    <w:lvl w:ilvl="5">
      <w:start w:val="1"/>
      <w:numFmt w:val="decimal"/>
      <w:lvlText w:val="%6."/>
      <w:lvlJc w:val="left"/>
      <w:pPr>
        <w:ind w:left="4320" w:hanging="360"/>
      </w:pPr>
      <w:rPr>
        <w:strike w:val="0"/>
        <w:dstrike w:val="0"/>
        <w:u w:val="none"/>
        <w:effect w:val="none"/>
      </w:rPr>
    </w:lvl>
    <w:lvl w:ilvl="6">
      <w:start w:val="1"/>
      <w:numFmt w:val="lowerLetter"/>
      <w:lvlText w:val="%7."/>
      <w:lvlJc w:val="left"/>
      <w:pPr>
        <w:ind w:left="5040" w:hanging="360"/>
      </w:pPr>
      <w:rPr>
        <w:strike w:val="0"/>
        <w:dstrike w:val="0"/>
        <w:u w:val="none"/>
        <w:effect w:val="none"/>
      </w:rPr>
    </w:lvl>
    <w:lvl w:ilvl="7">
      <w:start w:val="1"/>
      <w:numFmt w:val="lowerRoman"/>
      <w:lvlText w:val="%8."/>
      <w:lvlJc w:val="right"/>
      <w:pPr>
        <w:ind w:left="5760" w:hanging="360"/>
      </w:pPr>
      <w:rPr>
        <w:strike w:val="0"/>
        <w:dstrike w:val="0"/>
        <w:u w:val="none"/>
        <w:effect w:val="none"/>
      </w:rPr>
    </w:lvl>
    <w:lvl w:ilvl="8">
      <w:start w:val="1"/>
      <w:numFmt w:val="decimal"/>
      <w:lvlText w:val="%9."/>
      <w:lvlJc w:val="left"/>
      <w:pPr>
        <w:ind w:left="6480" w:hanging="360"/>
      </w:pPr>
      <w:rPr>
        <w:strike w:val="0"/>
        <w:dstrike w:val="0"/>
        <w:u w:val="none"/>
        <w:effect w:val="none"/>
      </w:rPr>
    </w:lvl>
  </w:abstractNum>
  <w:abstractNum w:abstractNumId="4" w15:restartNumberingAfterBreak="0">
    <w:nsid w:val="796C042C"/>
    <w:multiLevelType w:val="multilevel"/>
    <w:tmpl w:val="796C04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2008973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9370180">
    <w:abstractNumId w:val="2"/>
  </w:num>
  <w:num w:numId="3" w16cid:durableId="2069452356">
    <w:abstractNumId w:val="1"/>
  </w:num>
  <w:num w:numId="4" w16cid:durableId="298997371">
    <w:abstractNumId w:val="0"/>
  </w:num>
  <w:num w:numId="5" w16cid:durableId="8132557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2197353">
    <w:abstractNumId w:val="2"/>
    <w:lvlOverride w:ilvl="0"/>
    <w:lvlOverride w:ilvl="1"/>
    <w:lvlOverride w:ilvl="2"/>
    <w:lvlOverride w:ilvl="3"/>
    <w:lvlOverride w:ilvl="4"/>
    <w:lvlOverride w:ilvl="5"/>
    <w:lvlOverride w:ilvl="6"/>
    <w:lvlOverride w:ilvl="7"/>
    <w:lvlOverride w:ilvl="8"/>
  </w:num>
  <w:num w:numId="7" w16cid:durableId="19995318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DA"/>
    <w:rsid w:val="0003110F"/>
    <w:rsid w:val="0012024A"/>
    <w:rsid w:val="00130A8A"/>
    <w:rsid w:val="002A19DA"/>
    <w:rsid w:val="00390999"/>
    <w:rsid w:val="003A2214"/>
    <w:rsid w:val="003E077C"/>
    <w:rsid w:val="00461111"/>
    <w:rsid w:val="004B47F5"/>
    <w:rsid w:val="00544404"/>
    <w:rsid w:val="00641E41"/>
    <w:rsid w:val="006B7541"/>
    <w:rsid w:val="007C539A"/>
    <w:rsid w:val="007D3A58"/>
    <w:rsid w:val="00834E26"/>
    <w:rsid w:val="00871EF4"/>
    <w:rsid w:val="0088376B"/>
    <w:rsid w:val="008F147B"/>
    <w:rsid w:val="0096786B"/>
    <w:rsid w:val="00A35E8E"/>
    <w:rsid w:val="00A46D80"/>
    <w:rsid w:val="00B310FE"/>
    <w:rsid w:val="00B44859"/>
    <w:rsid w:val="00B957FA"/>
    <w:rsid w:val="00CB1A88"/>
    <w:rsid w:val="00D4500D"/>
    <w:rsid w:val="00DA3603"/>
    <w:rsid w:val="00F97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8D9815"/>
  <w15:chartTrackingRefBased/>
  <w15:docId w15:val="{8C1145EA-4DD0-4210-89B9-FD637A2B2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9DA"/>
    <w:rPr>
      <w:rFonts w:ascii="Calibri" w:eastAsia="Calibri" w:hAnsi="Calibri" w:cs="Times New Roman"/>
      <w:sz w:val="24"/>
      <w:szCs w:val="24"/>
      <w:lang w:val="en-GB" w:eastAsia="en-GB"/>
    </w:rPr>
  </w:style>
  <w:style w:type="paragraph" w:styleId="Heading1">
    <w:name w:val="heading 1"/>
    <w:basedOn w:val="Normal"/>
    <w:next w:val="Normal"/>
    <w:link w:val="Heading1Char"/>
    <w:qFormat/>
    <w:rsid w:val="002A19DA"/>
    <w:pPr>
      <w:keepNext/>
      <w:spacing w:before="240" w:after="240" w:line="240" w:lineRule="auto"/>
      <w:jc w:val="center"/>
      <w:outlineLvl w:val="0"/>
    </w:pPr>
    <w:rPr>
      <w:rFonts w:eastAsia="MS Mincho"/>
      <w:b/>
      <w:caps/>
      <w:szCs w:val="20"/>
      <w:lang w:val="en-US"/>
    </w:rPr>
  </w:style>
  <w:style w:type="paragraph" w:styleId="Heading2">
    <w:name w:val="heading 2"/>
    <w:basedOn w:val="Normal"/>
    <w:next w:val="Normal"/>
    <w:link w:val="Heading2Char"/>
    <w:qFormat/>
    <w:rsid w:val="002A19DA"/>
    <w:pPr>
      <w:keepNext/>
      <w:spacing w:before="240" w:after="240" w:line="240" w:lineRule="auto"/>
      <w:jc w:val="center"/>
      <w:outlineLvl w:val="1"/>
    </w:pPr>
    <w:rPr>
      <w:rFonts w:eastAsia="MS Mincho"/>
      <w:b/>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A19DA"/>
    <w:rPr>
      <w:rFonts w:ascii="Calibri" w:eastAsia="MS Mincho" w:hAnsi="Calibri" w:cs="Times New Roman"/>
      <w:b/>
      <w:caps/>
      <w:sz w:val="24"/>
      <w:szCs w:val="20"/>
      <w:lang w:eastAsia="en-GB"/>
    </w:rPr>
  </w:style>
  <w:style w:type="character" w:customStyle="1" w:styleId="Heading2Char">
    <w:name w:val="Heading 2 Char"/>
    <w:basedOn w:val="DefaultParagraphFont"/>
    <w:link w:val="Heading2"/>
    <w:rsid w:val="002A19DA"/>
    <w:rPr>
      <w:rFonts w:ascii="Calibri" w:eastAsia="MS Mincho" w:hAnsi="Calibri" w:cs="Times New Roman"/>
      <w:b/>
      <w:sz w:val="24"/>
      <w:szCs w:val="20"/>
      <w:lang w:eastAsia="en-GB"/>
    </w:rPr>
  </w:style>
  <w:style w:type="character" w:customStyle="1" w:styleId="hps">
    <w:name w:val="hps"/>
    <w:rsid w:val="002A19DA"/>
  </w:style>
  <w:style w:type="character" w:styleId="Hyperlink">
    <w:name w:val="Hyperlink"/>
    <w:uiPriority w:val="99"/>
    <w:rsid w:val="002A19DA"/>
    <w:rPr>
      <w:color w:val="0000FF"/>
      <w:u w:val="single"/>
    </w:rPr>
  </w:style>
  <w:style w:type="paragraph" w:styleId="Header">
    <w:name w:val="header"/>
    <w:basedOn w:val="Normal"/>
    <w:link w:val="HeaderChar"/>
    <w:uiPriority w:val="99"/>
    <w:unhideWhenUsed/>
    <w:rsid w:val="002A19DA"/>
    <w:pPr>
      <w:tabs>
        <w:tab w:val="center" w:pos="4680"/>
        <w:tab w:val="right" w:pos="9360"/>
      </w:tabs>
      <w:spacing w:after="0" w:line="240" w:lineRule="auto"/>
    </w:pPr>
    <w:rPr>
      <w:rFonts w:eastAsia="MS Mincho"/>
      <w:sz w:val="20"/>
      <w:szCs w:val="20"/>
      <w:lang w:val="x-none" w:eastAsia="ja-JP"/>
    </w:rPr>
  </w:style>
  <w:style w:type="character" w:customStyle="1" w:styleId="HeaderChar">
    <w:name w:val="Header Char"/>
    <w:basedOn w:val="DefaultParagraphFont"/>
    <w:link w:val="Header"/>
    <w:uiPriority w:val="99"/>
    <w:rsid w:val="002A19DA"/>
    <w:rPr>
      <w:rFonts w:ascii="Calibri" w:eastAsia="MS Mincho" w:hAnsi="Calibri" w:cs="Times New Roman"/>
      <w:sz w:val="20"/>
      <w:szCs w:val="20"/>
      <w:lang w:val="x-none" w:eastAsia="ja-JP"/>
    </w:rPr>
  </w:style>
  <w:style w:type="paragraph" w:styleId="Footer">
    <w:name w:val="footer"/>
    <w:basedOn w:val="Normal"/>
    <w:link w:val="FooterChar"/>
    <w:unhideWhenUsed/>
    <w:rsid w:val="002A19DA"/>
    <w:pPr>
      <w:tabs>
        <w:tab w:val="center" w:pos="4513"/>
        <w:tab w:val="right" w:pos="9026"/>
      </w:tabs>
      <w:spacing w:after="0" w:line="240" w:lineRule="auto"/>
    </w:pPr>
    <w:rPr>
      <w:sz w:val="20"/>
      <w:szCs w:val="20"/>
      <w:lang w:eastAsia="x-none"/>
    </w:rPr>
  </w:style>
  <w:style w:type="character" w:customStyle="1" w:styleId="FooterChar">
    <w:name w:val="Footer Char"/>
    <w:basedOn w:val="DefaultParagraphFont"/>
    <w:link w:val="Footer"/>
    <w:rsid w:val="002A19DA"/>
    <w:rPr>
      <w:rFonts w:ascii="Calibri" w:eastAsia="Calibri" w:hAnsi="Calibri" w:cs="Times New Roman"/>
      <w:sz w:val="20"/>
      <w:szCs w:val="20"/>
      <w:lang w:val="en-GB" w:eastAsia="x-none"/>
    </w:rPr>
  </w:style>
  <w:style w:type="paragraph" w:customStyle="1" w:styleId="1JUDULJOURNAL">
    <w:name w:val="1JUDUL JOURNAL"/>
    <w:basedOn w:val="Normal"/>
    <w:link w:val="1JUDULJOURNALChar"/>
    <w:qFormat/>
    <w:rsid w:val="002A19DA"/>
    <w:pPr>
      <w:autoSpaceDE w:val="0"/>
      <w:autoSpaceDN w:val="0"/>
      <w:adjustRightInd w:val="0"/>
      <w:spacing w:after="0" w:line="276" w:lineRule="auto"/>
      <w:jc w:val="center"/>
    </w:pPr>
    <w:rPr>
      <w:sz w:val="36"/>
      <w:szCs w:val="36"/>
      <w:lang w:eastAsia="x-none"/>
    </w:rPr>
  </w:style>
  <w:style w:type="character" w:customStyle="1" w:styleId="1JUDULJOURNALChar">
    <w:name w:val="1JUDUL JOURNAL Char"/>
    <w:link w:val="1JUDULJOURNAL"/>
    <w:rsid w:val="002A19DA"/>
    <w:rPr>
      <w:rFonts w:ascii="Calibri" w:eastAsia="Calibri" w:hAnsi="Calibri" w:cs="Times New Roman"/>
      <w:sz w:val="36"/>
      <w:szCs w:val="36"/>
      <w:lang w:val="en-GB" w:eastAsia="x-none"/>
    </w:rPr>
  </w:style>
  <w:style w:type="paragraph" w:customStyle="1" w:styleId="1ABSTRAK">
    <w:name w:val="1ABSTRAK"/>
    <w:basedOn w:val="Normal"/>
    <w:link w:val="1ABSTRAKChar"/>
    <w:qFormat/>
    <w:rsid w:val="002A19DA"/>
    <w:pPr>
      <w:spacing w:after="0" w:line="240" w:lineRule="auto"/>
      <w:jc w:val="both"/>
    </w:pPr>
    <w:rPr>
      <w:szCs w:val="20"/>
      <w:lang w:eastAsia="x-none"/>
    </w:rPr>
  </w:style>
  <w:style w:type="character" w:customStyle="1" w:styleId="1ABSTRAKChar">
    <w:name w:val="1ABSTRAK Char"/>
    <w:link w:val="1ABSTRAK"/>
    <w:rsid w:val="002A19DA"/>
    <w:rPr>
      <w:rFonts w:ascii="Calibri" w:eastAsia="Calibri" w:hAnsi="Calibri" w:cs="Times New Roman"/>
      <w:sz w:val="24"/>
      <w:szCs w:val="20"/>
      <w:lang w:val="en-GB" w:eastAsia="x-none"/>
    </w:rPr>
  </w:style>
  <w:style w:type="paragraph" w:customStyle="1" w:styleId="1ISIJOURNAL">
    <w:name w:val="1ISIJOURNAL"/>
    <w:basedOn w:val="Normal"/>
    <w:link w:val="1ISIJOURNALChar"/>
    <w:qFormat/>
    <w:rsid w:val="002A19DA"/>
    <w:pPr>
      <w:autoSpaceDE w:val="0"/>
      <w:autoSpaceDN w:val="0"/>
      <w:adjustRightInd w:val="0"/>
      <w:spacing w:line="240" w:lineRule="auto"/>
      <w:ind w:firstLine="425"/>
      <w:jc w:val="both"/>
    </w:pPr>
    <w:rPr>
      <w:szCs w:val="20"/>
      <w:lang w:eastAsia="x-none"/>
    </w:rPr>
  </w:style>
  <w:style w:type="character" w:customStyle="1" w:styleId="1ISIJOURNALChar">
    <w:name w:val="1ISIJOURNAL Char"/>
    <w:link w:val="1ISIJOURNAL"/>
    <w:rsid w:val="002A19DA"/>
    <w:rPr>
      <w:rFonts w:ascii="Calibri" w:eastAsia="Calibri" w:hAnsi="Calibri" w:cs="Times New Roman"/>
      <w:sz w:val="24"/>
      <w:szCs w:val="20"/>
      <w:lang w:val="en-GB" w:eastAsia="x-none"/>
    </w:rPr>
  </w:style>
  <w:style w:type="character" w:customStyle="1" w:styleId="apple-converted-space">
    <w:name w:val="apple-converted-space"/>
    <w:rsid w:val="002A19DA"/>
  </w:style>
  <w:style w:type="paragraph" w:customStyle="1" w:styleId="EndNoteBibliography">
    <w:name w:val="EndNote Bibliography"/>
    <w:basedOn w:val="Normal"/>
    <w:link w:val="EndNoteBibliography0"/>
    <w:rsid w:val="002A19DA"/>
    <w:pPr>
      <w:spacing w:after="0" w:line="240" w:lineRule="auto"/>
    </w:pPr>
    <w:rPr>
      <w:rFonts w:ascii="Times" w:eastAsiaTheme="minorEastAsia" w:hAnsi="Times" w:cs="Times"/>
      <w:noProof/>
      <w:sz w:val="22"/>
      <w:szCs w:val="20"/>
      <w:lang w:val="en-US" w:eastAsia="en-US"/>
    </w:rPr>
  </w:style>
  <w:style w:type="character" w:customStyle="1" w:styleId="EndNoteBibliography0">
    <w:name w:val="EndNote Bibliography (文字)"/>
    <w:basedOn w:val="DefaultParagraphFont"/>
    <w:link w:val="EndNoteBibliography"/>
    <w:rsid w:val="002A19DA"/>
    <w:rPr>
      <w:rFonts w:ascii="Times" w:eastAsiaTheme="minorEastAsia" w:hAnsi="Times" w:cs="Times"/>
      <w:noProof/>
      <w:szCs w:val="20"/>
    </w:rPr>
  </w:style>
  <w:style w:type="table" w:customStyle="1" w:styleId="TableGrid">
    <w:name w:val="TableGrid"/>
    <w:rsid w:val="002A19DA"/>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IJASEITAuthorName">
    <w:name w:val="IJASEIT Author Name"/>
    <w:basedOn w:val="Normal"/>
    <w:next w:val="Normal"/>
    <w:rsid w:val="002A19DA"/>
    <w:pPr>
      <w:adjustRightInd w:val="0"/>
      <w:snapToGrid w:val="0"/>
      <w:spacing w:before="120" w:after="120" w:line="240" w:lineRule="auto"/>
      <w:jc w:val="center"/>
    </w:pPr>
    <w:rPr>
      <w:rFonts w:ascii="Times New Roman" w:eastAsia="Times New Roman" w:hAnsi="Times New Roman"/>
    </w:rPr>
  </w:style>
  <w:style w:type="paragraph" w:customStyle="1" w:styleId="IJASEITAuthorAffiliation">
    <w:name w:val="IJASEIT Author Affiliation"/>
    <w:basedOn w:val="Normal"/>
    <w:next w:val="Normal"/>
    <w:rsid w:val="002A19DA"/>
    <w:pPr>
      <w:spacing w:after="60" w:line="240" w:lineRule="auto"/>
      <w:jc w:val="center"/>
    </w:pPr>
    <w:rPr>
      <w:rFonts w:ascii="Times New Roman" w:eastAsia="Times New Roman" w:hAnsi="Times New Roman"/>
      <w:i/>
      <w:sz w:val="18"/>
    </w:rPr>
  </w:style>
  <w:style w:type="paragraph" w:styleId="Subtitle">
    <w:name w:val="Subtitle"/>
    <w:basedOn w:val="Normal"/>
    <w:next w:val="Normal"/>
    <w:link w:val="SubtitleChar"/>
    <w:uiPriority w:val="11"/>
    <w:qFormat/>
    <w:rsid w:val="002A19DA"/>
    <w:pPr>
      <w:spacing w:after="200" w:line="240" w:lineRule="auto"/>
      <w:jc w:val="center"/>
      <w:outlineLvl w:val="1"/>
    </w:pPr>
    <w:rPr>
      <w:rFonts w:ascii="Times New Roman" w:eastAsia="Times New Roman" w:hAnsi="Times New Roman"/>
      <w:b/>
      <w:sz w:val="30"/>
      <w:lang w:val="en-US" w:eastAsia="en-US"/>
    </w:rPr>
  </w:style>
  <w:style w:type="character" w:customStyle="1" w:styleId="SubtitleChar">
    <w:name w:val="Subtitle Char"/>
    <w:basedOn w:val="DefaultParagraphFont"/>
    <w:link w:val="Subtitle"/>
    <w:uiPriority w:val="11"/>
    <w:rsid w:val="002A19DA"/>
    <w:rPr>
      <w:rFonts w:ascii="Times New Roman" w:eastAsia="Times New Roman" w:hAnsi="Times New Roman" w:cs="Times New Roman"/>
      <w:b/>
      <w:sz w:val="30"/>
      <w:szCs w:val="24"/>
    </w:rPr>
  </w:style>
  <w:style w:type="paragraph" w:customStyle="1" w:styleId="RESTIBodyText">
    <w:name w:val="RESTI_BodyText"/>
    <w:basedOn w:val="BodyText"/>
    <w:rsid w:val="002A19DA"/>
    <w:pPr>
      <w:spacing w:line="240" w:lineRule="auto"/>
    </w:pPr>
    <w:rPr>
      <w:rFonts w:ascii="Times New Roman" w:eastAsia="MS Mincho" w:hAnsi="Times New Roman"/>
      <w:sz w:val="20"/>
      <w:lang w:val="en-US" w:eastAsia="ja-JP"/>
    </w:rPr>
  </w:style>
  <w:style w:type="character" w:customStyle="1" w:styleId="RESTIParagraphChar">
    <w:name w:val="RESTIParagraph Char"/>
    <w:link w:val="RESTIParagraph"/>
    <w:locked/>
    <w:rsid w:val="002A19DA"/>
    <w:rPr>
      <w:rFonts w:ascii="Times New Roman" w:eastAsia="SimSun" w:hAnsi="Times New Roman"/>
      <w:lang w:val="en-AU" w:eastAsia="zh-CN"/>
    </w:rPr>
  </w:style>
  <w:style w:type="paragraph" w:customStyle="1" w:styleId="RESTIParagraph">
    <w:name w:val="RESTIParagraph"/>
    <w:basedOn w:val="Normal"/>
    <w:link w:val="RESTIParagraphChar"/>
    <w:rsid w:val="002A19DA"/>
    <w:pPr>
      <w:adjustRightInd w:val="0"/>
      <w:snapToGrid w:val="0"/>
      <w:spacing w:after="0" w:line="240" w:lineRule="auto"/>
      <w:ind w:firstLine="216"/>
      <w:jc w:val="both"/>
    </w:pPr>
    <w:rPr>
      <w:rFonts w:ascii="Times New Roman" w:eastAsia="SimSun" w:hAnsi="Times New Roman" w:cstheme="minorBidi"/>
      <w:sz w:val="22"/>
      <w:szCs w:val="22"/>
      <w:lang w:val="en-AU" w:eastAsia="zh-CN"/>
    </w:rPr>
  </w:style>
  <w:style w:type="paragraph" w:customStyle="1" w:styleId="TeksNormal">
    <w:name w:val="Teks Normal"/>
    <w:basedOn w:val="Normal"/>
    <w:qFormat/>
    <w:rsid w:val="002A19DA"/>
    <w:pPr>
      <w:spacing w:after="0" w:line="240" w:lineRule="auto"/>
      <w:ind w:firstLine="245"/>
      <w:jc w:val="both"/>
    </w:pPr>
    <w:rPr>
      <w:rFonts w:ascii="Times New Roman" w:eastAsia="Times New Roman" w:hAnsi="Times New Roman"/>
      <w:sz w:val="20"/>
      <w:szCs w:val="20"/>
      <w:lang w:val="fi-FI" w:eastAsia="en-US"/>
    </w:rPr>
  </w:style>
  <w:style w:type="paragraph" w:customStyle="1" w:styleId="IJASEITParagraph">
    <w:name w:val="IJASEIT Paragraph"/>
    <w:basedOn w:val="Normal"/>
    <w:link w:val="IJASEITParagraphChar"/>
    <w:rsid w:val="002A19DA"/>
    <w:pPr>
      <w:adjustRightInd w:val="0"/>
      <w:snapToGrid w:val="0"/>
      <w:spacing w:after="0" w:line="240" w:lineRule="auto"/>
      <w:ind w:firstLine="216"/>
      <w:jc w:val="both"/>
    </w:pPr>
    <w:rPr>
      <w:rFonts w:ascii="Times New Roman" w:eastAsia="SimSun" w:hAnsi="Times New Roman"/>
      <w:sz w:val="20"/>
      <w:lang w:val="en-AU" w:eastAsia="zh-CN"/>
    </w:rPr>
  </w:style>
  <w:style w:type="character" w:customStyle="1" w:styleId="IJASEITParagraphChar">
    <w:name w:val="IJASEIT Paragraph Char"/>
    <w:link w:val="IJASEITParagraph"/>
    <w:rsid w:val="002A19DA"/>
    <w:rPr>
      <w:rFonts w:ascii="Times New Roman" w:eastAsia="SimSun" w:hAnsi="Times New Roman" w:cs="Times New Roman"/>
      <w:sz w:val="20"/>
      <w:szCs w:val="24"/>
      <w:lang w:val="en-AU" w:eastAsia="zh-CN"/>
    </w:rPr>
  </w:style>
  <w:style w:type="paragraph" w:customStyle="1" w:styleId="IJASEITHeading1">
    <w:name w:val="IJASEIT Heading 1"/>
    <w:basedOn w:val="Normal"/>
    <w:next w:val="IJASEITParagraph"/>
    <w:rsid w:val="002A19DA"/>
    <w:pPr>
      <w:adjustRightInd w:val="0"/>
      <w:snapToGrid w:val="0"/>
      <w:spacing w:before="240" w:after="80" w:line="240" w:lineRule="auto"/>
      <w:jc w:val="center"/>
    </w:pPr>
    <w:rPr>
      <w:rFonts w:ascii="Times New Roman" w:eastAsia="SimSun" w:hAnsi="Times New Roman"/>
      <w:smallCaps/>
      <w:sz w:val="20"/>
      <w:lang w:val="en-AU" w:eastAsia="zh-CN"/>
    </w:rPr>
  </w:style>
  <w:style w:type="paragraph" w:customStyle="1" w:styleId="IJASEITHeading2">
    <w:name w:val="IJASEIT Heading 2"/>
    <w:basedOn w:val="Normal"/>
    <w:next w:val="IJASEITParagraph"/>
    <w:rsid w:val="002A19DA"/>
    <w:pPr>
      <w:adjustRightInd w:val="0"/>
      <w:snapToGrid w:val="0"/>
      <w:spacing w:before="150" w:after="60" w:line="240" w:lineRule="auto"/>
    </w:pPr>
    <w:rPr>
      <w:rFonts w:ascii="Times New Roman" w:eastAsia="SimSun" w:hAnsi="Times New Roman"/>
      <w:i/>
      <w:sz w:val="20"/>
      <w:lang w:val="en-AU" w:eastAsia="zh-CN"/>
    </w:rPr>
  </w:style>
  <w:style w:type="character" w:customStyle="1" w:styleId="tlid-translation">
    <w:name w:val="tlid-translation"/>
    <w:basedOn w:val="DefaultParagraphFont"/>
    <w:rsid w:val="002A19DA"/>
  </w:style>
  <w:style w:type="paragraph" w:styleId="BodyText">
    <w:name w:val="Body Text"/>
    <w:basedOn w:val="Normal"/>
    <w:link w:val="BodyTextChar"/>
    <w:uiPriority w:val="99"/>
    <w:semiHidden/>
    <w:unhideWhenUsed/>
    <w:rsid w:val="002A19DA"/>
    <w:pPr>
      <w:spacing w:after="120"/>
    </w:pPr>
  </w:style>
  <w:style w:type="character" w:customStyle="1" w:styleId="BodyTextChar">
    <w:name w:val="Body Text Char"/>
    <w:basedOn w:val="DefaultParagraphFont"/>
    <w:link w:val="BodyText"/>
    <w:uiPriority w:val="99"/>
    <w:semiHidden/>
    <w:rsid w:val="002A19DA"/>
    <w:rPr>
      <w:rFonts w:ascii="Calibri" w:eastAsia="Calibri" w:hAnsi="Calibri" w:cs="Times New Roman"/>
      <w:sz w:val="24"/>
      <w:szCs w:val="24"/>
      <w:lang w:val="en-GB" w:eastAsia="en-GB"/>
    </w:rPr>
  </w:style>
  <w:style w:type="table" w:styleId="TableGrid0">
    <w:name w:val="Table Grid"/>
    <w:basedOn w:val="TableNormal"/>
    <w:uiPriority w:val="39"/>
    <w:rsid w:val="002A1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B75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73800">
      <w:bodyDiv w:val="1"/>
      <w:marLeft w:val="0"/>
      <w:marRight w:val="0"/>
      <w:marTop w:val="0"/>
      <w:marBottom w:val="0"/>
      <w:divBdr>
        <w:top w:val="none" w:sz="0" w:space="0" w:color="auto"/>
        <w:left w:val="none" w:sz="0" w:space="0" w:color="auto"/>
        <w:bottom w:val="none" w:sz="0" w:space="0" w:color="auto"/>
        <w:right w:val="none" w:sz="0" w:space="0" w:color="auto"/>
      </w:divBdr>
    </w:div>
    <w:div w:id="70350626">
      <w:bodyDiv w:val="1"/>
      <w:marLeft w:val="0"/>
      <w:marRight w:val="0"/>
      <w:marTop w:val="0"/>
      <w:marBottom w:val="0"/>
      <w:divBdr>
        <w:top w:val="none" w:sz="0" w:space="0" w:color="auto"/>
        <w:left w:val="none" w:sz="0" w:space="0" w:color="auto"/>
        <w:bottom w:val="none" w:sz="0" w:space="0" w:color="auto"/>
        <w:right w:val="none" w:sz="0" w:space="0" w:color="auto"/>
      </w:divBdr>
    </w:div>
    <w:div w:id="86729033">
      <w:bodyDiv w:val="1"/>
      <w:marLeft w:val="0"/>
      <w:marRight w:val="0"/>
      <w:marTop w:val="0"/>
      <w:marBottom w:val="0"/>
      <w:divBdr>
        <w:top w:val="none" w:sz="0" w:space="0" w:color="auto"/>
        <w:left w:val="none" w:sz="0" w:space="0" w:color="auto"/>
        <w:bottom w:val="none" w:sz="0" w:space="0" w:color="auto"/>
        <w:right w:val="none" w:sz="0" w:space="0" w:color="auto"/>
      </w:divBdr>
    </w:div>
    <w:div w:id="243884424">
      <w:bodyDiv w:val="1"/>
      <w:marLeft w:val="0"/>
      <w:marRight w:val="0"/>
      <w:marTop w:val="0"/>
      <w:marBottom w:val="0"/>
      <w:divBdr>
        <w:top w:val="none" w:sz="0" w:space="0" w:color="auto"/>
        <w:left w:val="none" w:sz="0" w:space="0" w:color="auto"/>
        <w:bottom w:val="none" w:sz="0" w:space="0" w:color="auto"/>
        <w:right w:val="none" w:sz="0" w:space="0" w:color="auto"/>
      </w:divBdr>
    </w:div>
    <w:div w:id="320893717">
      <w:bodyDiv w:val="1"/>
      <w:marLeft w:val="0"/>
      <w:marRight w:val="0"/>
      <w:marTop w:val="0"/>
      <w:marBottom w:val="0"/>
      <w:divBdr>
        <w:top w:val="none" w:sz="0" w:space="0" w:color="auto"/>
        <w:left w:val="none" w:sz="0" w:space="0" w:color="auto"/>
        <w:bottom w:val="none" w:sz="0" w:space="0" w:color="auto"/>
        <w:right w:val="none" w:sz="0" w:space="0" w:color="auto"/>
      </w:divBdr>
    </w:div>
    <w:div w:id="541870429">
      <w:bodyDiv w:val="1"/>
      <w:marLeft w:val="0"/>
      <w:marRight w:val="0"/>
      <w:marTop w:val="0"/>
      <w:marBottom w:val="0"/>
      <w:divBdr>
        <w:top w:val="none" w:sz="0" w:space="0" w:color="auto"/>
        <w:left w:val="none" w:sz="0" w:space="0" w:color="auto"/>
        <w:bottom w:val="none" w:sz="0" w:space="0" w:color="auto"/>
        <w:right w:val="none" w:sz="0" w:space="0" w:color="auto"/>
      </w:divBdr>
    </w:div>
    <w:div w:id="606234776">
      <w:bodyDiv w:val="1"/>
      <w:marLeft w:val="0"/>
      <w:marRight w:val="0"/>
      <w:marTop w:val="0"/>
      <w:marBottom w:val="0"/>
      <w:divBdr>
        <w:top w:val="none" w:sz="0" w:space="0" w:color="auto"/>
        <w:left w:val="none" w:sz="0" w:space="0" w:color="auto"/>
        <w:bottom w:val="none" w:sz="0" w:space="0" w:color="auto"/>
        <w:right w:val="none" w:sz="0" w:space="0" w:color="auto"/>
      </w:divBdr>
    </w:div>
    <w:div w:id="713115461">
      <w:bodyDiv w:val="1"/>
      <w:marLeft w:val="0"/>
      <w:marRight w:val="0"/>
      <w:marTop w:val="0"/>
      <w:marBottom w:val="0"/>
      <w:divBdr>
        <w:top w:val="none" w:sz="0" w:space="0" w:color="auto"/>
        <w:left w:val="none" w:sz="0" w:space="0" w:color="auto"/>
        <w:bottom w:val="none" w:sz="0" w:space="0" w:color="auto"/>
        <w:right w:val="none" w:sz="0" w:space="0" w:color="auto"/>
      </w:divBdr>
    </w:div>
    <w:div w:id="1047681056">
      <w:bodyDiv w:val="1"/>
      <w:marLeft w:val="0"/>
      <w:marRight w:val="0"/>
      <w:marTop w:val="0"/>
      <w:marBottom w:val="0"/>
      <w:divBdr>
        <w:top w:val="none" w:sz="0" w:space="0" w:color="auto"/>
        <w:left w:val="none" w:sz="0" w:space="0" w:color="auto"/>
        <w:bottom w:val="none" w:sz="0" w:space="0" w:color="auto"/>
        <w:right w:val="none" w:sz="0" w:space="0" w:color="auto"/>
      </w:divBdr>
    </w:div>
    <w:div w:id="1063259560">
      <w:bodyDiv w:val="1"/>
      <w:marLeft w:val="0"/>
      <w:marRight w:val="0"/>
      <w:marTop w:val="0"/>
      <w:marBottom w:val="0"/>
      <w:divBdr>
        <w:top w:val="none" w:sz="0" w:space="0" w:color="auto"/>
        <w:left w:val="none" w:sz="0" w:space="0" w:color="auto"/>
        <w:bottom w:val="none" w:sz="0" w:space="0" w:color="auto"/>
        <w:right w:val="none" w:sz="0" w:space="0" w:color="auto"/>
      </w:divBdr>
    </w:div>
    <w:div w:id="1127159227">
      <w:bodyDiv w:val="1"/>
      <w:marLeft w:val="0"/>
      <w:marRight w:val="0"/>
      <w:marTop w:val="0"/>
      <w:marBottom w:val="0"/>
      <w:divBdr>
        <w:top w:val="none" w:sz="0" w:space="0" w:color="auto"/>
        <w:left w:val="none" w:sz="0" w:space="0" w:color="auto"/>
        <w:bottom w:val="none" w:sz="0" w:space="0" w:color="auto"/>
        <w:right w:val="none" w:sz="0" w:space="0" w:color="auto"/>
      </w:divBdr>
    </w:div>
    <w:div w:id="1154686129">
      <w:bodyDiv w:val="1"/>
      <w:marLeft w:val="0"/>
      <w:marRight w:val="0"/>
      <w:marTop w:val="0"/>
      <w:marBottom w:val="0"/>
      <w:divBdr>
        <w:top w:val="none" w:sz="0" w:space="0" w:color="auto"/>
        <w:left w:val="none" w:sz="0" w:space="0" w:color="auto"/>
        <w:bottom w:val="none" w:sz="0" w:space="0" w:color="auto"/>
        <w:right w:val="none" w:sz="0" w:space="0" w:color="auto"/>
      </w:divBdr>
    </w:div>
    <w:div w:id="1155607566">
      <w:bodyDiv w:val="1"/>
      <w:marLeft w:val="0"/>
      <w:marRight w:val="0"/>
      <w:marTop w:val="0"/>
      <w:marBottom w:val="0"/>
      <w:divBdr>
        <w:top w:val="none" w:sz="0" w:space="0" w:color="auto"/>
        <w:left w:val="none" w:sz="0" w:space="0" w:color="auto"/>
        <w:bottom w:val="none" w:sz="0" w:space="0" w:color="auto"/>
        <w:right w:val="none" w:sz="0" w:space="0" w:color="auto"/>
      </w:divBdr>
    </w:div>
    <w:div w:id="1253508632">
      <w:bodyDiv w:val="1"/>
      <w:marLeft w:val="0"/>
      <w:marRight w:val="0"/>
      <w:marTop w:val="0"/>
      <w:marBottom w:val="0"/>
      <w:divBdr>
        <w:top w:val="none" w:sz="0" w:space="0" w:color="auto"/>
        <w:left w:val="none" w:sz="0" w:space="0" w:color="auto"/>
        <w:bottom w:val="none" w:sz="0" w:space="0" w:color="auto"/>
        <w:right w:val="none" w:sz="0" w:space="0" w:color="auto"/>
      </w:divBdr>
    </w:div>
    <w:div w:id="1346514924">
      <w:bodyDiv w:val="1"/>
      <w:marLeft w:val="0"/>
      <w:marRight w:val="0"/>
      <w:marTop w:val="0"/>
      <w:marBottom w:val="0"/>
      <w:divBdr>
        <w:top w:val="none" w:sz="0" w:space="0" w:color="auto"/>
        <w:left w:val="none" w:sz="0" w:space="0" w:color="auto"/>
        <w:bottom w:val="none" w:sz="0" w:space="0" w:color="auto"/>
        <w:right w:val="none" w:sz="0" w:space="0" w:color="auto"/>
      </w:divBdr>
    </w:div>
    <w:div w:id="1365012406">
      <w:bodyDiv w:val="1"/>
      <w:marLeft w:val="0"/>
      <w:marRight w:val="0"/>
      <w:marTop w:val="0"/>
      <w:marBottom w:val="0"/>
      <w:divBdr>
        <w:top w:val="none" w:sz="0" w:space="0" w:color="auto"/>
        <w:left w:val="none" w:sz="0" w:space="0" w:color="auto"/>
        <w:bottom w:val="none" w:sz="0" w:space="0" w:color="auto"/>
        <w:right w:val="none" w:sz="0" w:space="0" w:color="auto"/>
      </w:divBdr>
    </w:div>
    <w:div w:id="1406686428">
      <w:bodyDiv w:val="1"/>
      <w:marLeft w:val="0"/>
      <w:marRight w:val="0"/>
      <w:marTop w:val="0"/>
      <w:marBottom w:val="0"/>
      <w:divBdr>
        <w:top w:val="none" w:sz="0" w:space="0" w:color="auto"/>
        <w:left w:val="none" w:sz="0" w:space="0" w:color="auto"/>
        <w:bottom w:val="none" w:sz="0" w:space="0" w:color="auto"/>
        <w:right w:val="none" w:sz="0" w:space="0" w:color="auto"/>
      </w:divBdr>
    </w:div>
    <w:div w:id="1609853594">
      <w:bodyDiv w:val="1"/>
      <w:marLeft w:val="0"/>
      <w:marRight w:val="0"/>
      <w:marTop w:val="0"/>
      <w:marBottom w:val="0"/>
      <w:divBdr>
        <w:top w:val="none" w:sz="0" w:space="0" w:color="auto"/>
        <w:left w:val="none" w:sz="0" w:space="0" w:color="auto"/>
        <w:bottom w:val="none" w:sz="0" w:space="0" w:color="auto"/>
        <w:right w:val="none" w:sz="0" w:space="0" w:color="auto"/>
      </w:divBdr>
    </w:div>
    <w:div w:id="1616017689">
      <w:bodyDiv w:val="1"/>
      <w:marLeft w:val="0"/>
      <w:marRight w:val="0"/>
      <w:marTop w:val="0"/>
      <w:marBottom w:val="0"/>
      <w:divBdr>
        <w:top w:val="none" w:sz="0" w:space="0" w:color="auto"/>
        <w:left w:val="none" w:sz="0" w:space="0" w:color="auto"/>
        <w:bottom w:val="none" w:sz="0" w:space="0" w:color="auto"/>
        <w:right w:val="none" w:sz="0" w:space="0" w:color="auto"/>
      </w:divBdr>
    </w:div>
    <w:div w:id="1929343792">
      <w:bodyDiv w:val="1"/>
      <w:marLeft w:val="0"/>
      <w:marRight w:val="0"/>
      <w:marTop w:val="0"/>
      <w:marBottom w:val="0"/>
      <w:divBdr>
        <w:top w:val="none" w:sz="0" w:space="0" w:color="auto"/>
        <w:left w:val="none" w:sz="0" w:space="0" w:color="auto"/>
        <w:bottom w:val="none" w:sz="0" w:space="0" w:color="auto"/>
        <w:right w:val="none" w:sz="0" w:space="0" w:color="auto"/>
      </w:divBdr>
    </w:div>
    <w:div w:id="2077631332">
      <w:bodyDiv w:val="1"/>
      <w:marLeft w:val="0"/>
      <w:marRight w:val="0"/>
      <w:marTop w:val="0"/>
      <w:marBottom w:val="0"/>
      <w:divBdr>
        <w:top w:val="none" w:sz="0" w:space="0" w:color="auto"/>
        <w:left w:val="none" w:sz="0" w:space="0" w:color="auto"/>
        <w:bottom w:val="none" w:sz="0" w:space="0" w:color="auto"/>
        <w:right w:val="none" w:sz="0" w:space="0" w:color="auto"/>
      </w:divBdr>
    </w:div>
    <w:div w:id="2087337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jurnal-itsi.org/index.php/jitsi/login" TargetMode="External"/><Relationship Id="rId13" Type="http://schemas.openxmlformats.org/officeDocument/2006/relationships/image" Target="media/image2.wmf"/><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2@yyy.zzz" TargetMode="External"/><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mailto:xxx1@yyy.zzz"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jurnal-itsi.org/index.php/jitsi/login" TargetMode="External"/><Relationship Id="rId14" Type="http://schemas.openxmlformats.org/officeDocument/2006/relationships/oleObject" Target="embeddings/oleObject1.bin"/><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DDF16-64C5-4237-9814-F6D9F1B0F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1189</Words>
  <Characters>6783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hidra amnur</dc:creator>
  <cp:keywords/>
  <dc:description/>
  <cp:lastModifiedBy>hidra amnur</cp:lastModifiedBy>
  <cp:revision>2</cp:revision>
  <dcterms:created xsi:type="dcterms:W3CDTF">2023-05-21T09:25:00Z</dcterms:created>
  <dcterms:modified xsi:type="dcterms:W3CDTF">2023-05-21T09:25:00Z</dcterms:modified>
</cp:coreProperties>
</file>