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06FB" w14:textId="587F2D04" w:rsidR="00795692" w:rsidRDefault="00795692" w:rsidP="00795692">
      <w:pPr>
        <w:rPr>
          <w:rFonts w:ascii="Times New Roman" w:hAnsi="Times New Roman" w:cs="Times New Roman"/>
          <w:lang w:val="en-US"/>
        </w:rPr>
      </w:pPr>
      <w:r w:rsidRPr="00795692">
        <w:rPr>
          <w:rFonts w:ascii="Times New Roman" w:hAnsi="Times New Roman" w:cs="Times New Roman"/>
          <w:lang w:val="en-US"/>
        </w:rPr>
        <w:t>The accompanying figure compares two scenarios from the Trottier data: a conventional, Net</w:t>
      </w:r>
      <w:r w:rsidR="00B87074">
        <w:rPr>
          <w:rFonts w:ascii="Times New Roman" w:hAnsi="Times New Roman" w:cs="Times New Roman"/>
          <w:lang w:val="en-US"/>
        </w:rPr>
        <w:t>-</w:t>
      </w:r>
      <w:r w:rsidRPr="00795692">
        <w:rPr>
          <w:rFonts w:ascii="Times New Roman" w:hAnsi="Times New Roman" w:cs="Times New Roman"/>
          <w:lang w:val="en-US"/>
        </w:rPr>
        <w:t>Zero</w:t>
      </w:r>
      <w:r w:rsidR="00B87074">
        <w:rPr>
          <w:rFonts w:ascii="Times New Roman" w:hAnsi="Times New Roman" w:cs="Times New Roman"/>
          <w:lang w:val="en-US"/>
        </w:rPr>
        <w:t>-</w:t>
      </w:r>
      <w:r w:rsidRPr="00795692">
        <w:rPr>
          <w:rFonts w:ascii="Times New Roman" w:hAnsi="Times New Roman" w:cs="Times New Roman"/>
          <w:lang w:val="en-US"/>
        </w:rPr>
        <w:t>by</w:t>
      </w:r>
      <w:r w:rsidR="00B87074">
        <w:rPr>
          <w:rFonts w:ascii="Times New Roman" w:hAnsi="Times New Roman" w:cs="Times New Roman"/>
          <w:lang w:val="en-US"/>
        </w:rPr>
        <w:t>-</w:t>
      </w:r>
      <w:r w:rsidRPr="00795692">
        <w:rPr>
          <w:rFonts w:ascii="Times New Roman" w:hAnsi="Times New Roman" w:cs="Times New Roman"/>
          <w:lang w:val="en-US"/>
        </w:rPr>
        <w:t>2050 (NZ50) pathway and an accelerated, Net</w:t>
      </w:r>
      <w:r w:rsidR="00B87074">
        <w:rPr>
          <w:rFonts w:ascii="Times New Roman" w:hAnsi="Times New Roman" w:cs="Times New Roman"/>
          <w:lang w:val="en-US"/>
        </w:rPr>
        <w:t>-</w:t>
      </w:r>
      <w:r w:rsidRPr="00795692">
        <w:rPr>
          <w:rFonts w:ascii="Times New Roman" w:hAnsi="Times New Roman" w:cs="Times New Roman"/>
          <w:lang w:val="en-US"/>
        </w:rPr>
        <w:t>Zero</w:t>
      </w:r>
      <w:r w:rsidR="00B87074">
        <w:rPr>
          <w:rFonts w:ascii="Times New Roman" w:hAnsi="Times New Roman" w:cs="Times New Roman"/>
          <w:lang w:val="en-US"/>
        </w:rPr>
        <w:t>-</w:t>
      </w:r>
      <w:r w:rsidRPr="00795692">
        <w:rPr>
          <w:rFonts w:ascii="Times New Roman" w:hAnsi="Times New Roman" w:cs="Times New Roman"/>
          <w:lang w:val="en-US"/>
        </w:rPr>
        <w:t>by</w:t>
      </w:r>
      <w:r w:rsidR="00B87074">
        <w:rPr>
          <w:rFonts w:ascii="Times New Roman" w:hAnsi="Times New Roman" w:cs="Times New Roman"/>
          <w:lang w:val="en-US"/>
        </w:rPr>
        <w:t>-</w:t>
      </w:r>
      <w:r w:rsidRPr="00795692">
        <w:rPr>
          <w:rFonts w:ascii="Times New Roman" w:hAnsi="Times New Roman" w:cs="Times New Roman"/>
          <w:lang w:val="en-US"/>
        </w:rPr>
        <w:t>2045 (NZ45) pathway. The results suggest that while transport and industry benefit from increased DAC deployment, other sectors like energy production, fugitive emissions, and</w:t>
      </w:r>
      <w:r w:rsidR="00B87074">
        <w:rPr>
          <w:rFonts w:ascii="Times New Roman" w:hAnsi="Times New Roman" w:cs="Times New Roman"/>
          <w:lang w:val="en-US"/>
        </w:rPr>
        <w:t xml:space="preserve"> particularly</w:t>
      </w:r>
      <w:r w:rsidRPr="00795692">
        <w:rPr>
          <w:rFonts w:ascii="Times New Roman" w:hAnsi="Times New Roman" w:cs="Times New Roman"/>
          <w:lang w:val="en-US"/>
        </w:rPr>
        <w:t xml:space="preserve"> electricity are more affected under accelerated decarbonization roadmaps. These sectors – significant contributors to economywide decarbonization – may require higher emissions allowances in an NZ45 scenario to meet the tighter constraints of a more ambitious energy transiti</w:t>
      </w:r>
      <w:r>
        <w:rPr>
          <w:rFonts w:ascii="Times New Roman" w:hAnsi="Times New Roman" w:cs="Times New Roman"/>
          <w:lang w:val="en-US"/>
        </w:rPr>
        <w:t>on</w:t>
      </w:r>
      <w:r w:rsidRPr="00795692">
        <w:rPr>
          <w:rFonts w:ascii="Times New Roman" w:hAnsi="Times New Roman" w:cs="Times New Roman"/>
          <w:lang w:val="en-US"/>
        </w:rPr>
        <w:t>. This underscores that when DAC is available, sectors may postpone mitigation by leaning on future carbon removals to compensate for present-day emission</w:t>
      </w:r>
      <w:r>
        <w:rPr>
          <w:rFonts w:ascii="Times New Roman" w:hAnsi="Times New Roman" w:cs="Times New Roman"/>
          <w:lang w:val="en-US"/>
        </w:rPr>
        <w:t>s</w:t>
      </w:r>
      <w:r w:rsidRPr="00795692">
        <w:rPr>
          <w:rFonts w:ascii="Times New Roman" w:hAnsi="Times New Roman" w:cs="Times New Roman"/>
          <w:lang w:val="en-US"/>
        </w:rPr>
        <w:t>, highlighting a broader risk: technological reliance on DAC may reinforce the status quo and existing energy system patterns, making marginal, gradual, and less disruptive adjustments more attractive to stakeholders than transformative shifts.</w:t>
      </w:r>
    </w:p>
    <w:p w14:paraId="7A7F199B" w14:textId="77777777" w:rsidR="00795692" w:rsidRPr="00795692" w:rsidRDefault="00795692" w:rsidP="00795692">
      <w:pPr>
        <w:rPr>
          <w:rFonts w:ascii="Times New Roman" w:hAnsi="Times New Roman" w:cs="Times New Roman"/>
          <w:lang w:val="en-US"/>
        </w:rPr>
      </w:pPr>
    </w:p>
    <w:p w14:paraId="60CE27E9" w14:textId="103A5DA6" w:rsidR="005D2F92" w:rsidRDefault="0036388E" w:rsidP="00795692">
      <w:pPr>
        <w:jc w:val="center"/>
      </w:pPr>
      <w:r w:rsidRPr="0036388E">
        <w:drawing>
          <wp:inline distT="0" distB="0" distL="0" distR="0" wp14:anchorId="2A27537E" wp14:editId="0539980C">
            <wp:extent cx="5943600" cy="4606925"/>
            <wp:effectExtent l="0" t="0" r="0" b="3175"/>
            <wp:docPr id="162255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53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C97C" w14:textId="0568D6FF" w:rsidR="00B87074" w:rsidRPr="00B87074" w:rsidRDefault="00B87074" w:rsidP="00B87074">
      <w:pPr>
        <w:rPr>
          <w:rFonts w:ascii="Times New Roman" w:hAnsi="Times New Roman" w:cs="Times New Roman"/>
          <w:sz w:val="18"/>
          <w:szCs w:val="18"/>
        </w:rPr>
      </w:pPr>
      <w:r w:rsidRPr="00B87074">
        <w:rPr>
          <w:rFonts w:ascii="Times New Roman" w:hAnsi="Times New Roman" w:cs="Times New Roman"/>
          <w:i/>
          <w:iCs/>
          <w:sz w:val="18"/>
          <w:szCs w:val="18"/>
          <w:u w:val="single"/>
        </w:rPr>
        <w:t>Note:</w:t>
      </w:r>
      <w:r w:rsidRPr="00B87074">
        <w:rPr>
          <w:rFonts w:ascii="Times New Roman" w:hAnsi="Times New Roman" w:cs="Times New Roman"/>
          <w:sz w:val="18"/>
          <w:szCs w:val="18"/>
        </w:rPr>
        <w:t xml:space="preserve"> In this data, BECCS implementation is incorporated under the ‘electricity’ and ‘industry – combustion’ sectors. The differentials between the NZ45 and NZ50 emissions of those sectors in the year 2050 are presented in the graph above.</w:t>
      </w:r>
    </w:p>
    <w:sectPr w:rsidR="00B87074" w:rsidRPr="00B870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92"/>
    <w:rsid w:val="0036388E"/>
    <w:rsid w:val="005D2F92"/>
    <w:rsid w:val="00795692"/>
    <w:rsid w:val="00B87074"/>
    <w:rsid w:val="00F94AB5"/>
    <w:rsid w:val="00FA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68AC"/>
  <w15:chartTrackingRefBased/>
  <w15:docId w15:val="{E0DE1B89-074D-493F-8DED-6F2EFC8A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 Abdulla</dc:creator>
  <cp:keywords/>
  <dc:description/>
  <cp:lastModifiedBy>Feras Abdulla</cp:lastModifiedBy>
  <cp:revision>3</cp:revision>
  <dcterms:created xsi:type="dcterms:W3CDTF">2026-05-12T20:13:00Z</dcterms:created>
  <dcterms:modified xsi:type="dcterms:W3CDTF">2026-05-13T06:43:00Z</dcterms:modified>
</cp:coreProperties>
</file>