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8F286">
      <w:pPr>
        <w:pStyle w:val="2"/>
        <w:keepNext/>
        <w:keepLines/>
        <w:pageBreakBefore w:val="0"/>
        <w:widowControl w:val="0"/>
        <w:kinsoku/>
        <w:wordWrap/>
        <w:overflowPunct/>
        <w:topLinePunct w:val="0"/>
        <w:autoSpaceDE/>
        <w:autoSpaceDN/>
        <w:bidi w:val="0"/>
        <w:adjustRightInd/>
        <w:snapToGrid/>
        <w:spacing w:before="0"/>
        <w:jc w:val="center"/>
        <w:textAlignment w:val="auto"/>
        <w:rPr>
          <w:rFonts w:hint="eastAsia" w:ascii="方正小标宋简体" w:hAnsi="方正小标宋简体" w:eastAsia="方正小标宋简体" w:cs="Times New Roman"/>
          <w:b w:val="0"/>
          <w:color w:val="000000"/>
          <w:kern w:val="44"/>
          <w:sz w:val="44"/>
          <w:szCs w:val="44"/>
          <w:shd w:val="clear" w:color="auto" w:fill="FFFFFF"/>
          <w:lang w:val="en-US" w:eastAsia="zh-CN" w:bidi="ar-SA"/>
        </w:rPr>
      </w:pPr>
      <w:r>
        <w:rPr>
          <w:rFonts w:hint="eastAsia" w:ascii="方正小标宋简体" w:hAnsi="方正小标宋简体" w:eastAsia="方正小标宋简体" w:cs="Times New Roman"/>
          <w:b w:val="0"/>
          <w:color w:val="000000"/>
          <w:kern w:val="44"/>
          <w:sz w:val="44"/>
          <w:szCs w:val="44"/>
          <w:shd w:val="clear" w:color="auto" w:fill="FFFFFF"/>
          <w:lang w:val="en-US" w:eastAsia="zh-CN" w:bidi="ar-SA"/>
        </w:rPr>
        <w:t>计算机学院学生综合测评实施细则</w:t>
      </w:r>
    </w:p>
    <w:p w14:paraId="254ADA73">
      <w:pPr>
        <w:keepNext w:val="0"/>
        <w:keepLines w:val="0"/>
        <w:pageBreakBefore w:val="0"/>
        <w:widowControl/>
        <w:kinsoku/>
        <w:wordWrap/>
        <w:overflowPunct/>
        <w:topLinePunct w:val="0"/>
        <w:autoSpaceDE/>
        <w:autoSpaceDN/>
        <w:bidi w:val="0"/>
        <w:adjustRightInd/>
        <w:snapToGrid/>
        <w:spacing w:before="313" w:beforeLines="100" w:after="157" w:afterLines="50" w:line="520" w:lineRule="exact"/>
        <w:jc w:val="center"/>
        <w:textAlignment w:val="auto"/>
        <w:rPr>
          <w:rFonts w:hint="eastAsia" w:ascii="黑体" w:hAnsi="黑体" w:eastAsia="黑体"/>
          <w:bCs/>
          <w:color w:val="000000"/>
          <w:kern w:val="0"/>
          <w:sz w:val="32"/>
          <w:szCs w:val="32"/>
          <w:shd w:val="clear" w:color="auto" w:fill="FFFFFF"/>
        </w:rPr>
      </w:pPr>
      <w:r>
        <w:rPr>
          <w:rFonts w:hint="eastAsia" w:ascii="黑体" w:hAnsi="黑体" w:eastAsia="黑体"/>
          <w:bCs/>
          <w:color w:val="000000"/>
          <w:kern w:val="0"/>
          <w:sz w:val="32"/>
          <w:szCs w:val="32"/>
          <w:shd w:val="clear" w:color="auto" w:fill="FFFFFF"/>
        </w:rPr>
        <w:t>第一章  总  则</w:t>
      </w:r>
    </w:p>
    <w:p w14:paraId="5BFA8BED">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第一条</w:t>
      </w:r>
      <w:r>
        <w:rPr>
          <w:rFonts w:hint="eastAsia" w:ascii="仿宋" w:hAnsi="仿宋" w:eastAsia="仿宋" w:cs="仿宋"/>
          <w:color w:val="auto"/>
          <w:kern w:val="0"/>
          <w:sz w:val="32"/>
          <w:szCs w:val="32"/>
          <w:highlight w:val="none"/>
          <w:shd w:val="clear" w:color="auto" w:fill="FFFFFF"/>
        </w:rPr>
        <w:t xml:space="preserve"> 为全面贯彻党的教育方针，推进素质教育，提高学生的综合素质和实践能力，引导学生全面发展，客观准确地评价学生，根据教育部、省教育厅、学校有关文件精神，结合学院实际，制定本办法。</w:t>
      </w:r>
    </w:p>
    <w:p w14:paraId="5E0E334D">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第二条</w:t>
      </w:r>
      <w:r>
        <w:rPr>
          <w:rFonts w:hint="eastAsia" w:ascii="仿宋" w:hAnsi="仿宋" w:eastAsia="仿宋" w:cs="仿宋"/>
          <w:color w:val="auto"/>
          <w:kern w:val="0"/>
          <w:sz w:val="32"/>
          <w:szCs w:val="32"/>
          <w:highlight w:val="none"/>
          <w:shd w:val="clear" w:color="auto" w:fill="FFFFFF"/>
        </w:rPr>
        <w:t xml:space="preserve"> 综合测评坚持统一领导、严格规范、实事求是、公开公正的原则。</w:t>
      </w:r>
    </w:p>
    <w:p w14:paraId="247B60FB">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lang w:eastAsia="zh-CN"/>
        </w:rPr>
      </w:pPr>
      <w:r>
        <w:rPr>
          <w:rFonts w:hint="eastAsia" w:ascii="仿宋" w:hAnsi="仿宋" w:eastAsia="仿宋" w:cs="仿宋"/>
          <w:color w:val="auto"/>
          <w:kern w:val="0"/>
          <w:sz w:val="32"/>
          <w:szCs w:val="32"/>
          <w:highlight w:val="none"/>
          <w:shd w:val="clear" w:color="auto" w:fill="FFFFFF"/>
          <w:lang w:eastAsia="zh-CN"/>
        </w:rPr>
        <w:t>计算机学院成立由主管学生工作的书记为组长，各班级班主任为成员的</w:t>
      </w:r>
      <w:r>
        <w:rPr>
          <w:rFonts w:hint="eastAsia" w:ascii="仿宋" w:hAnsi="仿宋" w:eastAsia="仿宋" w:cs="仿宋"/>
          <w:b/>
          <w:bCs/>
          <w:color w:val="auto"/>
          <w:kern w:val="0"/>
          <w:sz w:val="32"/>
          <w:szCs w:val="32"/>
          <w:highlight w:val="none"/>
          <w:shd w:val="clear" w:color="auto" w:fill="FFFFFF"/>
          <w:lang w:eastAsia="zh-CN"/>
        </w:rPr>
        <w:t>学院综合测评工作小组</w:t>
      </w:r>
      <w:r>
        <w:rPr>
          <w:rFonts w:hint="eastAsia" w:ascii="仿宋" w:hAnsi="仿宋" w:eastAsia="仿宋" w:cs="仿宋"/>
          <w:color w:val="auto"/>
          <w:kern w:val="0"/>
          <w:sz w:val="32"/>
          <w:szCs w:val="32"/>
          <w:highlight w:val="none"/>
          <w:shd w:val="clear" w:color="auto" w:fill="FFFFFF"/>
          <w:lang w:eastAsia="zh-CN"/>
        </w:rPr>
        <w:t>。</w:t>
      </w:r>
    </w:p>
    <w:p w14:paraId="79A5FC4C">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lang w:eastAsia="zh-CN"/>
        </w:rPr>
      </w:pPr>
      <w:r>
        <w:rPr>
          <w:rFonts w:hint="eastAsia" w:ascii="仿宋" w:hAnsi="仿宋" w:eastAsia="仿宋" w:cs="仿宋"/>
          <w:b/>
          <w:bCs/>
          <w:color w:val="auto"/>
          <w:kern w:val="0"/>
          <w:sz w:val="32"/>
          <w:szCs w:val="32"/>
          <w:highlight w:val="none"/>
          <w:shd w:val="clear" w:color="auto" w:fill="FFFFFF"/>
          <w:lang w:eastAsia="zh-CN"/>
        </w:rPr>
        <w:t>组长</w:t>
      </w:r>
      <w:r>
        <w:rPr>
          <w:rFonts w:hint="eastAsia" w:ascii="仿宋" w:hAnsi="仿宋" w:eastAsia="仿宋" w:cs="仿宋"/>
          <w:color w:val="auto"/>
          <w:kern w:val="0"/>
          <w:sz w:val="32"/>
          <w:szCs w:val="32"/>
          <w:highlight w:val="none"/>
          <w:shd w:val="clear" w:color="auto" w:fill="FFFFFF"/>
          <w:lang w:eastAsia="zh-CN"/>
        </w:rPr>
        <w:t>:李宝媛   主管学生工作</w:t>
      </w:r>
      <w:r>
        <w:rPr>
          <w:rFonts w:hint="eastAsia" w:ascii="仿宋" w:hAnsi="仿宋" w:eastAsia="仿宋" w:cs="仿宋"/>
          <w:color w:val="auto"/>
          <w:kern w:val="0"/>
          <w:sz w:val="32"/>
          <w:szCs w:val="32"/>
          <w:highlight w:val="none"/>
          <w:shd w:val="clear" w:color="auto" w:fill="FFFFFF"/>
          <w:lang w:val="en-US" w:eastAsia="zh-CN"/>
        </w:rPr>
        <w:t>副</w:t>
      </w:r>
      <w:r>
        <w:rPr>
          <w:rFonts w:hint="eastAsia" w:ascii="仿宋" w:hAnsi="仿宋" w:eastAsia="仿宋" w:cs="仿宋"/>
          <w:color w:val="auto"/>
          <w:kern w:val="0"/>
          <w:sz w:val="32"/>
          <w:szCs w:val="32"/>
          <w:highlight w:val="none"/>
          <w:shd w:val="clear" w:color="auto" w:fill="FFFFFF"/>
          <w:lang w:eastAsia="zh-CN"/>
        </w:rPr>
        <w:t>书记</w:t>
      </w:r>
    </w:p>
    <w:p w14:paraId="68EA3AC0">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default" w:ascii="仿宋" w:hAnsi="仿宋" w:eastAsia="仿宋" w:cs="仿宋"/>
          <w:color w:val="auto"/>
          <w:kern w:val="0"/>
          <w:sz w:val="32"/>
          <w:szCs w:val="32"/>
          <w:highlight w:val="none"/>
          <w:shd w:val="clear" w:color="auto" w:fill="FFFFFF"/>
          <w:lang w:val="en-US" w:eastAsia="zh-CN"/>
        </w:rPr>
      </w:pPr>
      <w:r>
        <w:rPr>
          <w:rFonts w:hint="eastAsia" w:ascii="仿宋" w:hAnsi="仿宋" w:eastAsia="仿宋" w:cs="仿宋"/>
          <w:b/>
          <w:bCs/>
          <w:color w:val="auto"/>
          <w:kern w:val="0"/>
          <w:sz w:val="32"/>
          <w:szCs w:val="32"/>
          <w:highlight w:val="none"/>
          <w:shd w:val="clear" w:color="auto" w:fill="FFFFFF"/>
          <w:lang w:eastAsia="zh-CN"/>
        </w:rPr>
        <w:t>成员</w:t>
      </w:r>
      <w:r>
        <w:rPr>
          <w:rFonts w:hint="eastAsia" w:ascii="仿宋" w:hAnsi="仿宋" w:eastAsia="仿宋" w:cs="仿宋"/>
          <w:color w:val="auto"/>
          <w:kern w:val="0"/>
          <w:sz w:val="32"/>
          <w:szCs w:val="32"/>
          <w:highlight w:val="none"/>
          <w:shd w:val="clear" w:color="auto" w:fill="FFFFFF"/>
          <w:lang w:eastAsia="zh-CN"/>
        </w:rPr>
        <w:t>: 宣孝义</w:t>
      </w:r>
      <w:r>
        <w:rPr>
          <w:rFonts w:hint="eastAsia" w:ascii="仿宋" w:hAnsi="仿宋" w:eastAsia="仿宋" w:cs="仿宋"/>
          <w:color w:val="auto"/>
          <w:kern w:val="0"/>
          <w:sz w:val="32"/>
          <w:szCs w:val="32"/>
          <w:highlight w:val="none"/>
          <w:shd w:val="clear" w:color="auto" w:fill="FFFFFF"/>
          <w:lang w:val="en-US" w:eastAsia="zh-CN"/>
        </w:rPr>
        <w:t xml:space="preserve"> 苏华 张 超 王 冰 丁中钰 刘方舟 孙介涛 梁曼姝 程琳 刘亮 陈亭宇 刘东然 </w:t>
      </w:r>
      <w:r>
        <w:rPr>
          <w:rFonts w:hint="eastAsia" w:ascii="仿宋" w:hAnsi="仿宋" w:eastAsia="仿宋" w:cs="仿宋"/>
          <w:color w:val="auto"/>
          <w:kern w:val="0"/>
          <w:sz w:val="32"/>
          <w:szCs w:val="32"/>
          <w:highlight w:val="none"/>
          <w:shd w:val="clear" w:color="auto" w:fill="FFFFFF"/>
          <w:lang w:eastAsia="zh-CN"/>
        </w:rPr>
        <w:t>刘</w:t>
      </w:r>
      <w:r>
        <w:rPr>
          <w:rFonts w:hint="eastAsia" w:ascii="仿宋" w:hAnsi="仿宋" w:eastAsia="仿宋" w:cs="仿宋"/>
          <w:color w:val="auto"/>
          <w:kern w:val="0"/>
          <w:sz w:val="32"/>
          <w:szCs w:val="32"/>
          <w:highlight w:val="none"/>
          <w:shd w:val="clear" w:color="auto" w:fill="FFFFFF"/>
          <w:lang w:val="en-US" w:eastAsia="zh-CN"/>
        </w:rPr>
        <w:t xml:space="preserve"> </w:t>
      </w:r>
      <w:r>
        <w:rPr>
          <w:rFonts w:hint="eastAsia" w:ascii="仿宋" w:hAnsi="仿宋" w:eastAsia="仿宋" w:cs="仿宋"/>
          <w:color w:val="auto"/>
          <w:kern w:val="0"/>
          <w:sz w:val="32"/>
          <w:szCs w:val="32"/>
          <w:highlight w:val="none"/>
          <w:shd w:val="clear" w:color="auto" w:fill="FFFFFF"/>
          <w:lang w:eastAsia="zh-CN"/>
        </w:rPr>
        <w:t>刚</w:t>
      </w:r>
    </w:p>
    <w:p w14:paraId="295E1057">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lang w:eastAsia="zh-CN"/>
        </w:rPr>
      </w:pPr>
      <w:r>
        <w:rPr>
          <w:rFonts w:hint="eastAsia" w:ascii="仿宋" w:hAnsi="仿宋" w:eastAsia="仿宋" w:cs="仿宋"/>
          <w:color w:val="auto"/>
          <w:kern w:val="0"/>
          <w:sz w:val="32"/>
          <w:szCs w:val="32"/>
          <w:highlight w:val="none"/>
          <w:shd w:val="clear" w:color="auto" w:fill="FFFFFF"/>
          <w:lang w:eastAsia="zh-CN"/>
        </w:rPr>
        <w:t>工作小组负责统筹、协调和组织学院的综合测评工作，各成员按照工作具体要求切实做好学生综合测评。</w:t>
      </w:r>
    </w:p>
    <w:p w14:paraId="4A760201">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lang w:eastAsia="zh-CN"/>
        </w:rPr>
      </w:pPr>
      <w:r>
        <w:rPr>
          <w:rFonts w:hint="eastAsia" w:ascii="仿宋" w:hAnsi="仿宋" w:eastAsia="仿宋" w:cs="仿宋"/>
          <w:b/>
          <w:bCs/>
          <w:color w:val="auto"/>
          <w:kern w:val="0"/>
          <w:sz w:val="32"/>
          <w:szCs w:val="32"/>
          <w:highlight w:val="none"/>
          <w:shd w:val="clear" w:color="auto" w:fill="FFFFFF"/>
          <w:lang w:eastAsia="zh-CN"/>
        </w:rPr>
        <w:t>各年级专业成立以班主任为组长</w:t>
      </w:r>
      <w:r>
        <w:rPr>
          <w:rFonts w:hint="eastAsia" w:ascii="仿宋" w:hAnsi="仿宋" w:eastAsia="仿宋" w:cs="仿宋"/>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lang w:eastAsia="zh-CN"/>
        </w:rPr>
        <w:t>各班级学委为副组长</w:t>
      </w:r>
      <w:r>
        <w:rPr>
          <w:rFonts w:hint="eastAsia" w:ascii="仿宋" w:hAnsi="仿宋" w:eastAsia="仿宋" w:cs="仿宋"/>
          <w:color w:val="auto"/>
          <w:kern w:val="0"/>
          <w:sz w:val="32"/>
          <w:szCs w:val="32"/>
          <w:highlight w:val="none"/>
          <w:shd w:val="clear" w:color="auto" w:fill="FFFFFF"/>
          <w:lang w:eastAsia="zh-CN"/>
        </w:rPr>
        <w:t>，主要班级干部、学生代表为成员的综合测评小组，负责本年级专业的综合测评工作。</w:t>
      </w:r>
    </w:p>
    <w:p w14:paraId="7B94B7F1">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第三条</w:t>
      </w:r>
      <w:r>
        <w:rPr>
          <w:rFonts w:hint="eastAsia" w:ascii="仿宋" w:hAnsi="仿宋" w:eastAsia="仿宋" w:cs="仿宋"/>
          <w:color w:val="auto"/>
          <w:kern w:val="0"/>
          <w:sz w:val="32"/>
          <w:szCs w:val="32"/>
          <w:highlight w:val="none"/>
          <w:shd w:val="clear" w:color="auto" w:fill="FFFFFF"/>
        </w:rPr>
        <w:t xml:space="preserve"> 综合测评成绩是学生评优、评奖及学校推荐学生就业的重要依据。测评内容包括学生品德行为、学习成绩和素质拓展三个方面。综合测评成绩由品德行为分、学习成绩分和素质拓展分三部分构成，分别占总成绩的20%、70%和10%。</w:t>
      </w:r>
    </w:p>
    <w:p w14:paraId="63B8A09C">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 xml:space="preserve">第四条 </w:t>
      </w:r>
      <w:r>
        <w:rPr>
          <w:rFonts w:hint="eastAsia" w:ascii="仿宋" w:hAnsi="仿宋" w:eastAsia="仿宋" w:cs="仿宋"/>
          <w:color w:val="auto"/>
          <w:kern w:val="0"/>
          <w:sz w:val="32"/>
          <w:szCs w:val="32"/>
          <w:highlight w:val="none"/>
          <w:shd w:val="clear" w:color="auto" w:fill="FFFFFF"/>
        </w:rPr>
        <w:t>综合测评成绩按百分制计算。计算方法为：品德行为分、学习成绩分、素质拓展分各按百分制计分，分别乘以20%、70%和10%，三项相加后即为总成绩。</w:t>
      </w:r>
    </w:p>
    <w:p w14:paraId="07513C1E">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计算公式为：M=20%</w:t>
      </w:r>
      <w:r>
        <w:rPr>
          <w:rFonts w:hint="eastAsia" w:ascii="仿宋" w:hAnsi="仿宋" w:eastAsia="仿宋" w:cs="仿宋"/>
          <w:color w:val="auto"/>
          <w:kern w:val="0"/>
          <w:sz w:val="32"/>
          <w:szCs w:val="32"/>
          <w:highlight w:val="none"/>
          <w:shd w:val="clear" w:color="auto" w:fill="FFFFFF"/>
          <w:lang w:val="en-US" w:eastAsia="zh-CN"/>
        </w:rPr>
        <w:t>*</w:t>
      </w:r>
      <w:r>
        <w:rPr>
          <w:rFonts w:hint="eastAsia" w:ascii="仿宋" w:hAnsi="仿宋" w:eastAsia="仿宋" w:cs="仿宋"/>
          <w:color w:val="auto"/>
          <w:kern w:val="0"/>
          <w:sz w:val="32"/>
          <w:szCs w:val="32"/>
          <w:highlight w:val="none"/>
          <w:shd w:val="clear" w:color="auto" w:fill="FFFFFF"/>
        </w:rPr>
        <w:t>A+70%</w:t>
      </w:r>
      <w:r>
        <w:rPr>
          <w:rFonts w:hint="eastAsia" w:ascii="仿宋" w:hAnsi="仿宋" w:eastAsia="仿宋" w:cs="仿宋"/>
          <w:color w:val="auto"/>
          <w:kern w:val="0"/>
          <w:sz w:val="32"/>
          <w:szCs w:val="32"/>
          <w:highlight w:val="none"/>
          <w:shd w:val="clear" w:color="auto" w:fill="FFFFFF"/>
          <w:lang w:val="en-US" w:eastAsia="zh-CN"/>
        </w:rPr>
        <w:t>*</w:t>
      </w:r>
      <w:r>
        <w:rPr>
          <w:rFonts w:hint="eastAsia" w:ascii="仿宋" w:hAnsi="仿宋" w:eastAsia="仿宋" w:cs="仿宋"/>
          <w:color w:val="auto"/>
          <w:kern w:val="0"/>
          <w:sz w:val="32"/>
          <w:szCs w:val="32"/>
          <w:highlight w:val="none"/>
          <w:shd w:val="clear" w:color="auto" w:fill="FFFFFF"/>
        </w:rPr>
        <w:t>B+10%</w:t>
      </w:r>
      <w:r>
        <w:rPr>
          <w:rFonts w:hint="eastAsia" w:ascii="仿宋" w:hAnsi="仿宋" w:eastAsia="仿宋" w:cs="仿宋"/>
          <w:color w:val="auto"/>
          <w:kern w:val="0"/>
          <w:sz w:val="32"/>
          <w:szCs w:val="32"/>
          <w:highlight w:val="none"/>
          <w:shd w:val="clear" w:color="auto" w:fill="FFFFFF"/>
          <w:lang w:val="en-US" w:eastAsia="zh-CN"/>
        </w:rPr>
        <w:t>*</w:t>
      </w:r>
      <w:r>
        <w:rPr>
          <w:rFonts w:hint="eastAsia" w:ascii="仿宋" w:hAnsi="仿宋" w:eastAsia="仿宋" w:cs="仿宋"/>
          <w:color w:val="auto"/>
          <w:kern w:val="0"/>
          <w:sz w:val="32"/>
          <w:szCs w:val="32"/>
          <w:highlight w:val="none"/>
          <w:shd w:val="clear" w:color="auto" w:fill="FFFFFF"/>
        </w:rPr>
        <w:t>C</w:t>
      </w:r>
    </w:p>
    <w:p w14:paraId="69A7C2DC">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其中：</w:t>
      </w:r>
      <w:r>
        <w:rPr>
          <w:rFonts w:hint="eastAsia" w:ascii="仿宋" w:hAnsi="仿宋" w:eastAsia="仿宋" w:cs="仿宋"/>
          <w:color w:val="auto"/>
          <w:kern w:val="0"/>
          <w:sz w:val="32"/>
          <w:szCs w:val="32"/>
          <w:highlight w:val="none"/>
          <w:shd w:val="clear" w:color="auto" w:fill="FFFFFF"/>
          <w:lang w:val="en-US" w:eastAsia="zh-CN"/>
        </w:rPr>
        <w:tab/>
      </w:r>
      <w:r>
        <w:rPr>
          <w:rFonts w:hint="eastAsia" w:ascii="仿宋" w:hAnsi="仿宋" w:eastAsia="仿宋" w:cs="仿宋"/>
          <w:color w:val="auto"/>
          <w:kern w:val="0"/>
          <w:sz w:val="32"/>
          <w:szCs w:val="32"/>
          <w:highlight w:val="none"/>
          <w:shd w:val="clear" w:color="auto" w:fill="FFFFFF"/>
        </w:rPr>
        <w:t>M—综合测评总成绩</w:t>
      </w:r>
    </w:p>
    <w:p w14:paraId="44FC5F21">
      <w:pPr>
        <w:keepNext w:val="0"/>
        <w:keepLines w:val="0"/>
        <w:pageBreakBefore w:val="0"/>
        <w:widowControl/>
        <w:kinsoku/>
        <w:wordWrap/>
        <w:overflowPunct/>
        <w:topLinePunct w:val="0"/>
        <w:autoSpaceDE/>
        <w:autoSpaceDN/>
        <w:bidi w:val="0"/>
        <w:adjustRightInd/>
        <w:snapToGrid/>
        <w:spacing w:line="560" w:lineRule="exact"/>
        <w:ind w:firstLine="1753" w:firstLineChars="548"/>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A—品德行为分</w:t>
      </w:r>
    </w:p>
    <w:p w14:paraId="300CECBF">
      <w:pPr>
        <w:keepNext w:val="0"/>
        <w:keepLines w:val="0"/>
        <w:pageBreakBefore w:val="0"/>
        <w:widowControl/>
        <w:kinsoku/>
        <w:wordWrap/>
        <w:overflowPunct/>
        <w:topLinePunct w:val="0"/>
        <w:autoSpaceDE/>
        <w:autoSpaceDN/>
        <w:bidi w:val="0"/>
        <w:adjustRightInd/>
        <w:snapToGrid/>
        <w:spacing w:line="560" w:lineRule="exact"/>
        <w:ind w:firstLine="1753" w:firstLineChars="548"/>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B—学习成绩分</w:t>
      </w:r>
    </w:p>
    <w:p w14:paraId="026F199E">
      <w:pPr>
        <w:keepNext w:val="0"/>
        <w:keepLines w:val="0"/>
        <w:pageBreakBefore w:val="0"/>
        <w:widowControl/>
        <w:kinsoku/>
        <w:wordWrap/>
        <w:overflowPunct/>
        <w:topLinePunct w:val="0"/>
        <w:autoSpaceDE/>
        <w:autoSpaceDN/>
        <w:bidi w:val="0"/>
        <w:adjustRightInd/>
        <w:snapToGrid/>
        <w:spacing w:line="560" w:lineRule="exact"/>
        <w:ind w:firstLine="1753" w:firstLineChars="548"/>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C—素质拓展分</w:t>
      </w:r>
    </w:p>
    <w:p w14:paraId="10950032">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24"/>
          <w:highlight w:val="none"/>
          <w:shd w:val="clear" w:color="auto" w:fill="FFFFFF"/>
        </w:rPr>
      </w:pPr>
      <w:r>
        <w:rPr>
          <w:rFonts w:hint="eastAsia" w:ascii="仿宋" w:hAnsi="仿宋" w:eastAsia="仿宋" w:cs="仿宋"/>
          <w:b/>
          <w:bCs/>
          <w:color w:val="auto"/>
          <w:kern w:val="0"/>
          <w:sz w:val="32"/>
          <w:szCs w:val="32"/>
          <w:highlight w:val="none"/>
          <w:shd w:val="clear" w:color="auto" w:fill="FFFFFF"/>
        </w:rPr>
        <w:t xml:space="preserve">第五条 </w:t>
      </w:r>
      <w:r>
        <w:rPr>
          <w:rFonts w:hint="eastAsia" w:ascii="仿宋" w:hAnsi="仿宋" w:eastAsia="仿宋" w:cs="仿宋"/>
          <w:color w:val="auto"/>
          <w:kern w:val="0"/>
          <w:sz w:val="32"/>
          <w:szCs w:val="32"/>
          <w:highlight w:val="none"/>
          <w:shd w:val="clear" w:color="auto" w:fill="FFFFFF"/>
        </w:rPr>
        <w:t>综合测评于每学年初进行评定。</w:t>
      </w:r>
    </w:p>
    <w:p w14:paraId="373C9814">
      <w:pPr>
        <w:keepNext w:val="0"/>
        <w:keepLines w:val="0"/>
        <w:pageBreakBefore w:val="0"/>
        <w:widowControl/>
        <w:kinsoku/>
        <w:wordWrap/>
        <w:overflowPunct/>
        <w:topLinePunct w:val="0"/>
        <w:autoSpaceDE/>
        <w:autoSpaceDN/>
        <w:bidi w:val="0"/>
        <w:adjustRightInd/>
        <w:snapToGrid/>
        <w:spacing w:before="313" w:beforeLines="100" w:after="157" w:afterLines="50" w:line="520" w:lineRule="exact"/>
        <w:jc w:val="center"/>
        <w:textAlignment w:val="auto"/>
        <w:rPr>
          <w:rFonts w:hint="eastAsia" w:ascii="仿宋" w:hAnsi="仿宋" w:eastAsia="仿宋" w:cs="仿宋"/>
          <w:b/>
          <w:bCs w:val="0"/>
          <w:color w:val="auto"/>
          <w:kern w:val="0"/>
          <w:sz w:val="44"/>
          <w:szCs w:val="44"/>
          <w:highlight w:val="none"/>
          <w:shd w:val="clear" w:color="auto" w:fill="FFFFFF"/>
        </w:rPr>
      </w:pPr>
      <w:r>
        <w:rPr>
          <w:rFonts w:hint="eastAsia" w:ascii="黑体" w:hAnsi="黑体" w:eastAsia="黑体"/>
          <w:bCs/>
          <w:color w:val="000000"/>
          <w:kern w:val="0"/>
          <w:sz w:val="32"/>
          <w:szCs w:val="32"/>
          <w:shd w:val="clear" w:color="auto" w:fill="FFFFFF"/>
        </w:rPr>
        <w:t>第二章  品德行为分计算办法</w:t>
      </w:r>
    </w:p>
    <w:p w14:paraId="7C779D78">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第六条</w:t>
      </w:r>
      <w:r>
        <w:rPr>
          <w:rFonts w:hint="eastAsia" w:ascii="仿宋" w:hAnsi="仿宋" w:eastAsia="仿宋" w:cs="仿宋"/>
          <w:color w:val="auto"/>
          <w:kern w:val="0"/>
          <w:sz w:val="32"/>
          <w:szCs w:val="32"/>
          <w:highlight w:val="none"/>
          <w:shd w:val="clear" w:color="auto" w:fill="FFFFFF"/>
        </w:rPr>
        <w:t xml:space="preserve"> 品德行为由基础分、附加分和扣罚分三部分组成。</w:t>
      </w:r>
    </w:p>
    <w:p w14:paraId="1115A3A0">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其中：A —品德行为分</w:t>
      </w:r>
    </w:p>
    <w:p w14:paraId="57DC9CD3">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 xml:space="preserve">      A1—基础分</w:t>
      </w:r>
    </w:p>
    <w:p w14:paraId="0542AAA8">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 xml:space="preserve">      A2—附加分 </w:t>
      </w:r>
    </w:p>
    <w:p w14:paraId="5D1B613A">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 xml:space="preserve">      A3—扣罚分</w:t>
      </w:r>
    </w:p>
    <w:p w14:paraId="70DAE35A">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计算公式为：A=A1+A2-A3</w:t>
      </w:r>
    </w:p>
    <w:p w14:paraId="22469BED">
      <w:pPr>
        <w:keepNext w:val="0"/>
        <w:keepLines w:val="0"/>
        <w:pageBreakBefore w:val="0"/>
        <w:widowControl/>
        <w:kinsoku/>
        <w:wordWrap/>
        <w:overflowPunct/>
        <w:topLinePunct w:val="0"/>
        <w:autoSpaceDE/>
        <w:autoSpaceDN/>
        <w:bidi w:val="0"/>
        <w:adjustRightInd/>
        <w:snapToGrid/>
        <w:spacing w:line="560" w:lineRule="exact"/>
        <w:ind w:firstLine="482" w:firstLineChars="15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第七条</w:t>
      </w:r>
      <w:r>
        <w:rPr>
          <w:rFonts w:hint="eastAsia" w:ascii="仿宋" w:hAnsi="仿宋" w:eastAsia="仿宋" w:cs="仿宋"/>
          <w:color w:val="auto"/>
          <w:kern w:val="0"/>
          <w:sz w:val="32"/>
          <w:szCs w:val="32"/>
          <w:highlight w:val="none"/>
          <w:shd w:val="clear" w:color="auto" w:fill="FFFFFF"/>
        </w:rPr>
        <w:t xml:space="preserve"> 品德行为分中的基础分（A1）为满分30分，基本条件为：</w:t>
      </w:r>
    </w:p>
    <w:p w14:paraId="26B4D0EF">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拥护四项基本原则和党的方针政策，政治立场端正，思想积极进步，自觉维护安定团结的政治局面和学校的正常秩序，积极参加各种有益活动。</w:t>
      </w:r>
    </w:p>
    <w:p w14:paraId="5CCBBFC1">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补充说明（A1评分细则）：</w:t>
      </w:r>
    </w:p>
    <w:p w14:paraId="7F214FAC">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基础分：</w:t>
      </w:r>
    </w:p>
    <w:p w14:paraId="31229CF8">
      <w:pPr>
        <w:keepNext w:val="0"/>
        <w:keepLines w:val="0"/>
        <w:pageBreakBefore w:val="0"/>
        <w:widowControl/>
        <w:numPr>
          <w:ilvl w:val="0"/>
          <w:numId w:val="0"/>
        </w:numPr>
        <w:kinsoku/>
        <w:wordWrap/>
        <w:overflowPunct/>
        <w:topLinePunct w:val="0"/>
        <w:autoSpaceDE/>
        <w:autoSpaceDN/>
        <w:bidi w:val="0"/>
        <w:adjustRightInd/>
        <w:snapToGrid/>
        <w:spacing w:line="560" w:lineRule="exact"/>
        <w:textAlignment w:val="auto"/>
        <w:rPr>
          <w:rFonts w:hint="eastAsia" w:ascii="仿宋" w:hAnsi="仿宋" w:eastAsia="仿宋" w:cs="仿宋"/>
          <w:b/>
          <w:bCs/>
          <w:i w:val="0"/>
          <w:color w:val="auto"/>
          <w:kern w:val="0"/>
          <w:sz w:val="32"/>
          <w:szCs w:val="32"/>
          <w:highlight w:val="none"/>
          <w:shd w:val="clear" w:color="auto" w:fill="FFFFFF"/>
          <w:lang w:val="en-US" w:eastAsia="zh-CN" w:bidi="ar-SA"/>
        </w:rPr>
      </w:pPr>
      <w:r>
        <w:rPr>
          <w:rFonts w:hint="eastAsia" w:ascii="仿宋" w:hAnsi="仿宋" w:eastAsia="仿宋" w:cs="仿宋"/>
          <w:b/>
          <w:bCs/>
          <w:color w:val="auto"/>
          <w:kern w:val="0"/>
          <w:sz w:val="32"/>
          <w:szCs w:val="32"/>
          <w:highlight w:val="none"/>
          <w:shd w:val="clear" w:color="auto" w:fill="FFFFFF"/>
          <w:lang w:val="en-US" w:eastAsia="zh-CN"/>
        </w:rPr>
        <w:t>A1基础分20分参照第二课堂成绩单评分，导出上一学年到梦空间中学生的第二课堂成绩，按照以下公式进行计算：【</w:t>
      </w:r>
      <m:oMath>
        <m:f>
          <m:fPr>
            <m:ctrlPr>
              <w:rPr>
                <w:rFonts w:hint="eastAsia" w:ascii="Cambria Math" w:hAnsi="Cambria Math" w:eastAsia="仿宋" w:cs="仿宋"/>
                <w:b/>
                <w:bCs/>
                <w:color w:val="auto"/>
                <w:kern w:val="0"/>
                <w:sz w:val="32"/>
                <w:szCs w:val="32"/>
                <w:highlight w:val="none"/>
                <w:shd w:val="clear" w:color="auto" w:fill="FFFFFF"/>
                <w:lang w:val="en-US" w:eastAsia="zh-CN" w:bidi="ar-SA"/>
              </w:rPr>
            </m:ctrlPr>
          </m:fPr>
          <m:num>
            <m:r>
              <m:rPr>
                <m:sty m:val="b"/>
              </m:rPr>
              <w:rPr>
                <w:rFonts w:hint="eastAsia" w:ascii="Cambria Math" w:hAnsi="Cambria Math" w:eastAsia="仿宋" w:cs="仿宋"/>
                <w:color w:val="auto"/>
                <w:kern w:val="0"/>
                <w:sz w:val="32"/>
                <w:szCs w:val="32"/>
                <w:highlight w:val="none"/>
                <w:shd w:val="clear" w:color="auto" w:fill="FFFFFF"/>
                <w:lang w:val="en-US" w:eastAsia="zh-CN" w:bidi="ar-SA"/>
              </w:rPr>
              <m:t>学生个人成绩分值</m:t>
            </m:r>
            <m:ctrlPr>
              <w:rPr>
                <w:rFonts w:hint="eastAsia" w:ascii="Cambria Math" w:hAnsi="Cambria Math" w:eastAsia="仿宋" w:cs="仿宋"/>
                <w:b/>
                <w:bCs/>
                <w:color w:val="auto"/>
                <w:kern w:val="0"/>
                <w:sz w:val="32"/>
                <w:szCs w:val="32"/>
                <w:highlight w:val="none"/>
                <w:shd w:val="clear" w:color="auto" w:fill="FFFFFF"/>
                <w:lang w:val="en-US" w:eastAsia="zh-CN" w:bidi="ar-SA"/>
              </w:rPr>
            </m:ctrlPr>
          </m:num>
          <m:den>
            <m:r>
              <m:rPr>
                <m:sty m:val="b"/>
              </m:rPr>
              <w:rPr>
                <w:rFonts w:hint="eastAsia" w:ascii="Cambria Math" w:hAnsi="Cambria Math" w:eastAsia="仿宋" w:cs="仿宋"/>
                <w:color w:val="auto"/>
                <w:kern w:val="0"/>
                <w:sz w:val="32"/>
                <w:szCs w:val="32"/>
                <w:highlight w:val="none"/>
                <w:shd w:val="clear" w:color="auto" w:fill="FFFFFF"/>
                <w:lang w:val="en-US" w:eastAsia="zh-CN" w:bidi="ar-SA"/>
              </w:rPr>
              <m:t>平均分</m:t>
            </m:r>
            <m:ctrlPr>
              <w:rPr>
                <w:rFonts w:hint="eastAsia" w:ascii="Cambria Math" w:hAnsi="Cambria Math" w:eastAsia="仿宋" w:cs="仿宋"/>
                <w:b/>
                <w:bCs/>
                <w:color w:val="auto"/>
                <w:kern w:val="0"/>
                <w:sz w:val="32"/>
                <w:szCs w:val="32"/>
                <w:highlight w:val="none"/>
                <w:shd w:val="clear" w:color="auto" w:fill="FFFFFF"/>
                <w:lang w:val="en-US" w:eastAsia="zh-CN" w:bidi="ar-SA"/>
              </w:rPr>
            </m:ctrlPr>
          </m:den>
        </m:f>
      </m:oMath>
      <w:r>
        <w:rPr>
          <w:rFonts w:hint="eastAsia" w:ascii="仿宋" w:hAnsi="仿宋" w:eastAsia="仿宋" w:cs="仿宋"/>
          <w:b/>
          <w:bCs/>
          <w:i w:val="0"/>
          <w:color w:val="auto"/>
          <w:kern w:val="0"/>
          <w:sz w:val="32"/>
          <w:szCs w:val="32"/>
          <w:highlight w:val="none"/>
          <w:shd w:val="clear" w:color="auto" w:fill="FFFFFF"/>
          <w:lang w:val="en-US" w:eastAsia="zh-CN" w:bidi="ar-SA"/>
        </w:rPr>
        <w:t>✖80】✖0.2</w:t>
      </w:r>
    </w:p>
    <w:p w14:paraId="222C76AE">
      <w:pPr>
        <w:keepNext w:val="0"/>
        <w:keepLines w:val="0"/>
        <w:pageBreakBefore w:val="0"/>
        <w:widowControl/>
        <w:numPr>
          <w:ilvl w:val="0"/>
          <w:numId w:val="0"/>
        </w:numPr>
        <w:kinsoku/>
        <w:wordWrap/>
        <w:overflowPunct/>
        <w:topLinePunct w:val="0"/>
        <w:autoSpaceDE/>
        <w:autoSpaceDN/>
        <w:bidi w:val="0"/>
        <w:adjustRightInd/>
        <w:snapToGrid/>
        <w:spacing w:line="560" w:lineRule="exact"/>
        <w:textAlignment w:val="auto"/>
        <w:rPr>
          <w:rFonts w:hint="eastAsia" w:ascii="仿宋" w:hAnsi="仿宋" w:eastAsia="仿宋" w:cs="仿宋"/>
          <w:b/>
          <w:bCs/>
          <w:i w:val="0"/>
          <w:color w:val="auto"/>
          <w:kern w:val="0"/>
          <w:sz w:val="32"/>
          <w:szCs w:val="32"/>
          <w:highlight w:val="none"/>
          <w:shd w:val="clear" w:color="auto" w:fill="FFFFFF"/>
          <w:lang w:val="en-US" w:eastAsia="zh-CN" w:bidi="ar-SA"/>
        </w:rPr>
      </w:pPr>
      <w:r>
        <w:rPr>
          <w:rFonts w:hint="eastAsia" w:ascii="仿宋" w:hAnsi="仿宋" w:eastAsia="仿宋" w:cs="仿宋"/>
          <w:b/>
          <w:bCs/>
          <w:i w:val="0"/>
          <w:color w:val="auto"/>
          <w:kern w:val="0"/>
          <w:sz w:val="32"/>
          <w:szCs w:val="32"/>
          <w:highlight w:val="none"/>
          <w:shd w:val="clear" w:color="auto" w:fill="FFFFFF"/>
          <w:lang w:val="en-US" w:eastAsia="zh-CN" w:bidi="ar-SA"/>
        </w:rPr>
        <w:t>注：平均分以专业为单位进行计算。</w:t>
      </w:r>
    </w:p>
    <w:p w14:paraId="67A870EA">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军训优秀标兵加2分；</w:t>
      </w:r>
    </w:p>
    <w:p w14:paraId="58AA1946">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义务献血</w:t>
      </w:r>
      <w:r>
        <w:rPr>
          <w:rFonts w:hint="eastAsia" w:ascii="仿宋" w:hAnsi="仿宋" w:eastAsia="仿宋" w:cs="仿宋"/>
          <w:b/>
          <w:bCs/>
          <w:color w:val="auto"/>
          <w:kern w:val="0"/>
          <w:sz w:val="32"/>
          <w:szCs w:val="32"/>
          <w:highlight w:val="none"/>
          <w:shd w:val="clear" w:color="auto" w:fill="FFFFFF"/>
          <w:lang w:val="en-US" w:eastAsia="zh-CN"/>
        </w:rPr>
        <w:t>加</w:t>
      </w:r>
      <w:r>
        <w:rPr>
          <w:rFonts w:hint="eastAsia" w:ascii="仿宋" w:hAnsi="仿宋" w:eastAsia="仿宋" w:cs="仿宋"/>
          <w:b/>
          <w:bCs/>
          <w:color w:val="auto"/>
          <w:kern w:val="0"/>
          <w:sz w:val="32"/>
          <w:szCs w:val="32"/>
          <w:highlight w:val="none"/>
          <w:shd w:val="clear" w:color="auto" w:fill="FFFFFF"/>
        </w:rPr>
        <w:t>1分；</w:t>
      </w:r>
    </w:p>
    <w:p w14:paraId="4B8B79CA">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班级运动会道德风尚奖全班同学加1分；</w:t>
      </w:r>
    </w:p>
    <w:p w14:paraId="7CFAA654">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lang w:val="en-US" w:eastAsia="zh-CN"/>
        </w:rPr>
        <w:t>可以累加，满分为30分。</w:t>
      </w:r>
      <w:bookmarkStart w:id="0" w:name="_GoBack"/>
      <w:bookmarkEnd w:id="0"/>
    </w:p>
    <w:p w14:paraId="5B2CF209">
      <w:pPr>
        <w:keepNext w:val="0"/>
        <w:keepLines w:val="0"/>
        <w:pageBreakBefore w:val="0"/>
        <w:widowControl/>
        <w:numPr>
          <w:ilvl w:val="0"/>
          <w:numId w:val="1"/>
        </w:numPr>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lang w:val="en-US" w:eastAsia="zh-CN"/>
        </w:rPr>
        <w:t>品德分最低为0分。</w:t>
      </w:r>
    </w:p>
    <w:p w14:paraId="12610D2A">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第八条</w:t>
      </w:r>
      <w:r>
        <w:rPr>
          <w:rFonts w:hint="eastAsia" w:ascii="仿宋" w:hAnsi="仿宋" w:eastAsia="仿宋" w:cs="仿宋"/>
          <w:color w:val="auto"/>
          <w:kern w:val="0"/>
          <w:sz w:val="32"/>
          <w:szCs w:val="32"/>
          <w:highlight w:val="none"/>
          <w:shd w:val="clear" w:color="auto" w:fill="FFFFFF"/>
        </w:rPr>
        <w:t xml:space="preserve"> 品德行为分中的附加分（A2），最高不超过70分。</w:t>
      </w:r>
    </w:p>
    <w:p w14:paraId="09C57549">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（一）获以下荣誉按相应标准进行加分，若取得同一荣誉两项及以上加分资格的，以其中最高分计，不累计加分。</w:t>
      </w:r>
    </w:p>
    <w:tbl>
      <w:tblPr>
        <w:tblStyle w:val="7"/>
        <w:tblW w:w="7088"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13"/>
        <w:gridCol w:w="3375"/>
      </w:tblGrid>
      <w:tr w14:paraId="00D017DA">
        <w:tc>
          <w:tcPr>
            <w:tcW w:w="3713" w:type="dxa"/>
            <w:tcBorders>
              <w:top w:val="single" w:color="auto" w:sz="4" w:space="0"/>
              <w:left w:val="single" w:color="auto" w:sz="4" w:space="0"/>
              <w:bottom w:val="single" w:color="auto" w:sz="4" w:space="0"/>
              <w:right w:val="single" w:color="auto" w:sz="4" w:space="0"/>
            </w:tcBorders>
            <w:noWrap w:val="0"/>
            <w:vAlign w:val="top"/>
          </w:tcPr>
          <w:p w14:paraId="475E75C0">
            <w:pPr>
              <w:widowControl/>
              <w:spacing w:line="520" w:lineRule="exact"/>
              <w:ind w:firstLine="1124" w:firstLineChars="35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所获荣誉</w:t>
            </w:r>
          </w:p>
        </w:tc>
        <w:tc>
          <w:tcPr>
            <w:tcW w:w="3375" w:type="dxa"/>
            <w:tcBorders>
              <w:top w:val="single" w:color="auto" w:sz="4" w:space="0"/>
              <w:left w:val="nil"/>
              <w:bottom w:val="single" w:color="auto" w:sz="4" w:space="0"/>
              <w:right w:val="single" w:color="auto" w:sz="4" w:space="0"/>
            </w:tcBorders>
            <w:noWrap w:val="0"/>
            <w:vAlign w:val="top"/>
          </w:tcPr>
          <w:p w14:paraId="0DE0DC3A">
            <w:pPr>
              <w:widowControl/>
              <w:spacing w:line="520" w:lineRule="exact"/>
              <w:ind w:firstLine="803" w:firstLineChars="25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加分标准</w:t>
            </w:r>
          </w:p>
        </w:tc>
      </w:tr>
      <w:tr w14:paraId="1976CDDA">
        <w:tc>
          <w:tcPr>
            <w:tcW w:w="3713" w:type="dxa"/>
            <w:tcBorders>
              <w:top w:val="single" w:color="auto" w:sz="4" w:space="0"/>
              <w:left w:val="single" w:color="auto" w:sz="4" w:space="0"/>
              <w:bottom w:val="single" w:color="auto" w:sz="4" w:space="0"/>
              <w:right w:val="single" w:color="auto" w:sz="4" w:space="0"/>
            </w:tcBorders>
            <w:noWrap w:val="0"/>
            <w:vAlign w:val="top"/>
          </w:tcPr>
          <w:p w14:paraId="5A2966EF">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优秀青年志愿者</w:t>
            </w:r>
          </w:p>
        </w:tc>
        <w:tc>
          <w:tcPr>
            <w:tcW w:w="3375" w:type="dxa"/>
            <w:vMerge w:val="restart"/>
            <w:tcBorders>
              <w:top w:val="nil"/>
              <w:left w:val="nil"/>
              <w:bottom w:val="single" w:color="auto" w:sz="4" w:space="0"/>
              <w:right w:val="single" w:color="auto" w:sz="4" w:space="0"/>
            </w:tcBorders>
            <w:noWrap w:val="0"/>
            <w:vAlign w:val="top"/>
          </w:tcPr>
          <w:p w14:paraId="084D7860">
            <w:pPr>
              <w:spacing w:line="520" w:lineRule="exact"/>
              <w:ind w:firstLine="640"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获国家、省、市、校四级相应荣誉的加分标准分别为10分、8分、6分、5分。</w:t>
            </w:r>
          </w:p>
        </w:tc>
      </w:tr>
      <w:tr w14:paraId="252FC011">
        <w:tc>
          <w:tcPr>
            <w:tcW w:w="3713" w:type="dxa"/>
            <w:tcBorders>
              <w:top w:val="single" w:color="auto" w:sz="4" w:space="0"/>
              <w:left w:val="single" w:color="auto" w:sz="4" w:space="0"/>
              <w:bottom w:val="single" w:color="auto" w:sz="4" w:space="0"/>
              <w:right w:val="single" w:color="auto" w:sz="4" w:space="0"/>
            </w:tcBorders>
            <w:noWrap w:val="0"/>
            <w:vAlign w:val="top"/>
          </w:tcPr>
          <w:p w14:paraId="40724A96">
            <w:pPr>
              <w:widowControl/>
              <w:spacing w:line="520" w:lineRule="exact"/>
              <w:jc w:val="center"/>
              <w:rPr>
                <w:rFonts w:hint="eastAsia" w:ascii="仿宋" w:hAnsi="仿宋" w:eastAsia="仿宋" w:cs="仿宋"/>
                <w:color w:val="auto"/>
                <w:kern w:val="0"/>
                <w:sz w:val="24"/>
                <w:highlight w:val="none"/>
                <w:shd w:val="clear" w:color="auto" w:fill="FFFFFF"/>
              </w:rPr>
            </w:pPr>
            <w:r>
              <w:rPr>
                <w:rFonts w:hint="eastAsia" w:ascii="仿宋" w:hAnsi="仿宋" w:eastAsia="仿宋" w:cs="仿宋"/>
                <w:color w:val="auto"/>
                <w:kern w:val="0"/>
                <w:sz w:val="32"/>
                <w:szCs w:val="32"/>
                <w:highlight w:val="none"/>
                <w:shd w:val="clear" w:color="auto" w:fill="FFFFFF"/>
              </w:rPr>
              <w:t>社团活动积极分子</w:t>
            </w:r>
          </w:p>
        </w:tc>
        <w:tc>
          <w:tcPr>
            <w:tcW w:w="3375" w:type="dxa"/>
            <w:vMerge w:val="continue"/>
            <w:tcBorders>
              <w:top w:val="nil"/>
              <w:left w:val="nil"/>
              <w:bottom w:val="single" w:color="auto" w:sz="4" w:space="0"/>
              <w:right w:val="single" w:color="auto" w:sz="4" w:space="0"/>
            </w:tcBorders>
            <w:noWrap w:val="0"/>
            <w:vAlign w:val="center"/>
          </w:tcPr>
          <w:p w14:paraId="1E08CC86">
            <w:pPr>
              <w:widowControl/>
              <w:jc w:val="left"/>
              <w:rPr>
                <w:rFonts w:hint="eastAsia" w:ascii="仿宋" w:hAnsi="仿宋" w:eastAsia="仿宋" w:cs="仿宋"/>
                <w:color w:val="auto"/>
                <w:kern w:val="0"/>
                <w:sz w:val="24"/>
                <w:highlight w:val="none"/>
                <w:shd w:val="clear" w:color="auto" w:fill="FFFFFF"/>
              </w:rPr>
            </w:pPr>
          </w:p>
        </w:tc>
      </w:tr>
      <w:tr w14:paraId="066CE305">
        <w:trPr>
          <w:trHeight w:val="533" w:hRule="atLeast"/>
        </w:trPr>
        <w:tc>
          <w:tcPr>
            <w:tcW w:w="3713" w:type="dxa"/>
            <w:tcBorders>
              <w:top w:val="single" w:color="auto" w:sz="4" w:space="0"/>
              <w:left w:val="single" w:color="auto" w:sz="4" w:space="0"/>
              <w:bottom w:val="single" w:color="auto" w:sz="4" w:space="0"/>
              <w:right w:val="single" w:color="auto" w:sz="4" w:space="0"/>
            </w:tcBorders>
            <w:noWrap w:val="0"/>
            <w:vAlign w:val="top"/>
          </w:tcPr>
          <w:p w14:paraId="276DD605">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社会实践先进个人</w:t>
            </w:r>
          </w:p>
        </w:tc>
        <w:tc>
          <w:tcPr>
            <w:tcW w:w="3375" w:type="dxa"/>
            <w:vMerge w:val="continue"/>
            <w:tcBorders>
              <w:top w:val="nil"/>
              <w:left w:val="nil"/>
              <w:bottom w:val="single" w:color="auto" w:sz="4" w:space="0"/>
              <w:right w:val="single" w:color="auto" w:sz="4" w:space="0"/>
            </w:tcBorders>
            <w:noWrap w:val="0"/>
            <w:vAlign w:val="center"/>
          </w:tcPr>
          <w:p w14:paraId="2D008B20">
            <w:pPr>
              <w:widowControl/>
              <w:jc w:val="left"/>
              <w:rPr>
                <w:rFonts w:hint="eastAsia" w:ascii="仿宋" w:hAnsi="仿宋" w:eastAsia="仿宋" w:cs="仿宋"/>
                <w:color w:val="auto"/>
                <w:kern w:val="0"/>
                <w:sz w:val="24"/>
                <w:highlight w:val="none"/>
                <w:shd w:val="clear" w:color="auto" w:fill="FFFFFF"/>
              </w:rPr>
            </w:pPr>
          </w:p>
        </w:tc>
      </w:tr>
      <w:tr w14:paraId="7389FC12">
        <w:tc>
          <w:tcPr>
            <w:tcW w:w="3713" w:type="dxa"/>
            <w:tcBorders>
              <w:top w:val="single" w:color="auto" w:sz="4" w:space="0"/>
              <w:left w:val="single" w:color="auto" w:sz="4" w:space="0"/>
              <w:bottom w:val="single" w:color="auto" w:sz="4" w:space="0"/>
              <w:right w:val="single" w:color="auto" w:sz="4" w:space="0"/>
            </w:tcBorders>
            <w:noWrap w:val="0"/>
            <w:vAlign w:val="top"/>
          </w:tcPr>
          <w:p w14:paraId="04F34A7F">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勤工助学先进个人</w:t>
            </w:r>
          </w:p>
        </w:tc>
        <w:tc>
          <w:tcPr>
            <w:tcW w:w="3375" w:type="dxa"/>
            <w:vMerge w:val="continue"/>
            <w:tcBorders>
              <w:top w:val="nil"/>
              <w:left w:val="nil"/>
              <w:bottom w:val="single" w:color="auto" w:sz="4" w:space="0"/>
              <w:right w:val="single" w:color="auto" w:sz="4" w:space="0"/>
            </w:tcBorders>
            <w:noWrap w:val="0"/>
            <w:vAlign w:val="center"/>
          </w:tcPr>
          <w:p w14:paraId="7FF35A9F">
            <w:pPr>
              <w:widowControl/>
              <w:jc w:val="left"/>
              <w:rPr>
                <w:rFonts w:hint="eastAsia" w:ascii="仿宋" w:hAnsi="仿宋" w:eastAsia="仿宋" w:cs="仿宋"/>
                <w:color w:val="auto"/>
                <w:kern w:val="0"/>
                <w:sz w:val="24"/>
                <w:highlight w:val="none"/>
                <w:shd w:val="clear" w:color="auto" w:fill="FFFFFF"/>
              </w:rPr>
            </w:pPr>
          </w:p>
        </w:tc>
      </w:tr>
      <w:tr w14:paraId="3DF40C60">
        <w:tc>
          <w:tcPr>
            <w:tcW w:w="3713" w:type="dxa"/>
            <w:tcBorders>
              <w:top w:val="single" w:color="auto" w:sz="4" w:space="0"/>
              <w:left w:val="single" w:color="auto" w:sz="4" w:space="0"/>
              <w:bottom w:val="single" w:color="auto" w:sz="4" w:space="0"/>
              <w:right w:val="single" w:color="auto" w:sz="4" w:space="0"/>
            </w:tcBorders>
            <w:noWrap w:val="0"/>
            <w:vAlign w:val="top"/>
          </w:tcPr>
          <w:p w14:paraId="0514EE45">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创新创业先进个人</w:t>
            </w:r>
          </w:p>
        </w:tc>
        <w:tc>
          <w:tcPr>
            <w:tcW w:w="3375" w:type="dxa"/>
            <w:vMerge w:val="continue"/>
            <w:tcBorders>
              <w:top w:val="nil"/>
              <w:left w:val="nil"/>
              <w:bottom w:val="single" w:color="auto" w:sz="4" w:space="0"/>
              <w:right w:val="single" w:color="auto" w:sz="4" w:space="0"/>
            </w:tcBorders>
            <w:noWrap w:val="0"/>
            <w:vAlign w:val="center"/>
          </w:tcPr>
          <w:p w14:paraId="61C4195F">
            <w:pPr>
              <w:widowControl/>
              <w:jc w:val="left"/>
              <w:rPr>
                <w:rFonts w:hint="eastAsia" w:ascii="仿宋" w:hAnsi="仿宋" w:eastAsia="仿宋" w:cs="仿宋"/>
                <w:color w:val="auto"/>
                <w:kern w:val="0"/>
                <w:sz w:val="24"/>
                <w:highlight w:val="none"/>
                <w:shd w:val="clear" w:color="auto" w:fill="FFFFFF"/>
              </w:rPr>
            </w:pPr>
          </w:p>
        </w:tc>
      </w:tr>
    </w:tbl>
    <w:p w14:paraId="70FF38B7">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（二）校级及以上先进班集体、红旗团支部的成员加分标准为：国家级15分，省级5分，市级3分，校级2分。</w:t>
      </w:r>
    </w:p>
    <w:p w14:paraId="158CA249">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lang w:eastAsia="zh-CN"/>
        </w:rPr>
      </w:pPr>
      <w:r>
        <w:rPr>
          <w:rFonts w:hint="eastAsia" w:ascii="仿宋" w:hAnsi="仿宋" w:eastAsia="仿宋" w:cs="仿宋"/>
          <w:b/>
          <w:bCs/>
          <w:color w:val="auto"/>
          <w:kern w:val="0"/>
          <w:sz w:val="32"/>
          <w:szCs w:val="32"/>
          <w:highlight w:val="none"/>
          <w:shd w:val="clear" w:color="auto" w:fill="FFFFFF"/>
          <w:lang w:eastAsia="zh-CN"/>
        </w:rPr>
        <w:t>补充说明：其他各类学生组织受到表彰各级别表彰按照此条执行。</w:t>
      </w:r>
    </w:p>
    <w:p w14:paraId="346395AD">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（三）在见义勇为、助人为乐、维护秩序等方面有突出事迹者，经院系认定，学生工作部核准，加5—10分。</w:t>
      </w:r>
    </w:p>
    <w:p w14:paraId="0473F7BD">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（四）校级文明宿舍评比，按以下分值进行加分：</w:t>
      </w:r>
    </w:p>
    <w:tbl>
      <w:tblPr>
        <w:tblStyle w:val="7"/>
        <w:tblW w:w="7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3260"/>
      </w:tblGrid>
      <w:tr w14:paraId="78944E5E">
        <w:trPr>
          <w:jc w:val="center"/>
        </w:trPr>
        <w:tc>
          <w:tcPr>
            <w:tcW w:w="3969" w:type="dxa"/>
            <w:tcBorders>
              <w:top w:val="single" w:color="auto" w:sz="4" w:space="0"/>
              <w:left w:val="single" w:color="auto" w:sz="4" w:space="0"/>
              <w:bottom w:val="single" w:color="auto" w:sz="4" w:space="0"/>
              <w:right w:val="single" w:color="auto" w:sz="4" w:space="0"/>
            </w:tcBorders>
            <w:noWrap w:val="0"/>
            <w:vAlign w:val="top"/>
          </w:tcPr>
          <w:p w14:paraId="1007ED85">
            <w:pPr>
              <w:widowControl/>
              <w:spacing w:line="520" w:lineRule="exact"/>
              <w:ind w:firstLine="321" w:firstLineChars="1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文明宿舍评比结果</w:t>
            </w:r>
          </w:p>
        </w:tc>
        <w:tc>
          <w:tcPr>
            <w:tcW w:w="3260" w:type="dxa"/>
            <w:tcBorders>
              <w:top w:val="single" w:color="auto" w:sz="4" w:space="0"/>
              <w:left w:val="nil"/>
              <w:bottom w:val="single" w:color="auto" w:sz="4" w:space="0"/>
              <w:right w:val="single" w:color="auto" w:sz="4" w:space="0"/>
            </w:tcBorders>
            <w:noWrap w:val="0"/>
            <w:vAlign w:val="top"/>
          </w:tcPr>
          <w:p w14:paraId="295ECEC4">
            <w:pPr>
              <w:widowControl/>
              <w:spacing w:line="520" w:lineRule="exact"/>
              <w:ind w:firstLine="161" w:firstLineChars="5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全体宿舍成员加分</w:t>
            </w:r>
          </w:p>
        </w:tc>
      </w:tr>
      <w:tr w14:paraId="0C91AA86">
        <w:trPr>
          <w:jc w:val="center"/>
        </w:trPr>
        <w:tc>
          <w:tcPr>
            <w:tcW w:w="3969" w:type="dxa"/>
            <w:tcBorders>
              <w:top w:val="single" w:color="auto" w:sz="4" w:space="0"/>
              <w:left w:val="single" w:color="auto" w:sz="4" w:space="0"/>
              <w:bottom w:val="single" w:color="auto" w:sz="4" w:space="0"/>
              <w:right w:val="single" w:color="auto" w:sz="4" w:space="0"/>
            </w:tcBorders>
            <w:noWrap w:val="0"/>
            <w:vAlign w:val="top"/>
          </w:tcPr>
          <w:p w14:paraId="03016EB4">
            <w:pPr>
              <w:widowControl/>
              <w:spacing w:line="520" w:lineRule="exact"/>
              <w:ind w:firstLine="960" w:firstLineChars="3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85-90分</w:t>
            </w:r>
          </w:p>
        </w:tc>
        <w:tc>
          <w:tcPr>
            <w:tcW w:w="3260" w:type="dxa"/>
            <w:tcBorders>
              <w:top w:val="single" w:color="auto" w:sz="4" w:space="0"/>
              <w:left w:val="nil"/>
              <w:bottom w:val="single" w:color="auto" w:sz="4" w:space="0"/>
              <w:right w:val="single" w:color="auto" w:sz="4" w:space="0"/>
            </w:tcBorders>
            <w:noWrap w:val="0"/>
            <w:vAlign w:val="top"/>
          </w:tcPr>
          <w:p w14:paraId="5CD91DF2">
            <w:pPr>
              <w:widowControl/>
              <w:spacing w:line="520" w:lineRule="exact"/>
              <w:ind w:firstLine="1280" w:firstLineChars="4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3</w:t>
            </w:r>
          </w:p>
        </w:tc>
      </w:tr>
      <w:tr w14:paraId="244DD94D">
        <w:trPr>
          <w:jc w:val="center"/>
        </w:trPr>
        <w:tc>
          <w:tcPr>
            <w:tcW w:w="3969" w:type="dxa"/>
            <w:tcBorders>
              <w:top w:val="single" w:color="auto" w:sz="4" w:space="0"/>
              <w:left w:val="single" w:color="auto" w:sz="4" w:space="0"/>
              <w:bottom w:val="single" w:color="auto" w:sz="4" w:space="0"/>
              <w:right w:val="single" w:color="auto" w:sz="4" w:space="0"/>
            </w:tcBorders>
            <w:noWrap w:val="0"/>
            <w:vAlign w:val="top"/>
          </w:tcPr>
          <w:p w14:paraId="2670B7E9">
            <w:pPr>
              <w:widowControl/>
              <w:spacing w:line="520" w:lineRule="exact"/>
              <w:ind w:firstLine="800" w:firstLineChars="25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91分及以上</w:t>
            </w:r>
          </w:p>
        </w:tc>
        <w:tc>
          <w:tcPr>
            <w:tcW w:w="3260" w:type="dxa"/>
            <w:tcBorders>
              <w:top w:val="single" w:color="auto" w:sz="4" w:space="0"/>
              <w:left w:val="nil"/>
              <w:bottom w:val="single" w:color="auto" w:sz="4" w:space="0"/>
              <w:right w:val="single" w:color="auto" w:sz="4" w:space="0"/>
            </w:tcBorders>
            <w:noWrap w:val="0"/>
            <w:vAlign w:val="top"/>
          </w:tcPr>
          <w:p w14:paraId="04B1BBBA">
            <w:pPr>
              <w:widowControl/>
              <w:spacing w:line="520" w:lineRule="exact"/>
              <w:ind w:firstLine="1280" w:firstLineChars="4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5</w:t>
            </w:r>
          </w:p>
        </w:tc>
      </w:tr>
      <w:tr w14:paraId="0F2338B4">
        <w:trPr>
          <w:jc w:val="center"/>
        </w:trPr>
        <w:tc>
          <w:tcPr>
            <w:tcW w:w="3969" w:type="dxa"/>
            <w:tcBorders>
              <w:top w:val="single" w:color="auto" w:sz="4" w:space="0"/>
              <w:left w:val="single" w:color="auto" w:sz="4" w:space="0"/>
              <w:bottom w:val="single" w:color="auto" w:sz="4" w:space="0"/>
              <w:right w:val="single" w:color="auto" w:sz="4" w:space="0"/>
            </w:tcBorders>
            <w:noWrap w:val="0"/>
            <w:vAlign w:val="top"/>
          </w:tcPr>
          <w:p w14:paraId="51C6D30C">
            <w:pPr>
              <w:widowControl/>
              <w:spacing w:line="520" w:lineRule="exact"/>
              <w:ind w:firstLine="640"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获评“文明宿舍”</w:t>
            </w:r>
          </w:p>
        </w:tc>
        <w:tc>
          <w:tcPr>
            <w:tcW w:w="3260" w:type="dxa"/>
            <w:tcBorders>
              <w:top w:val="single" w:color="auto" w:sz="4" w:space="0"/>
              <w:left w:val="nil"/>
              <w:bottom w:val="single" w:color="auto" w:sz="4" w:space="0"/>
              <w:right w:val="single" w:color="auto" w:sz="4" w:space="0"/>
            </w:tcBorders>
            <w:noWrap w:val="0"/>
            <w:vAlign w:val="top"/>
          </w:tcPr>
          <w:p w14:paraId="242A12BB">
            <w:pPr>
              <w:widowControl/>
              <w:spacing w:line="520" w:lineRule="exact"/>
              <w:ind w:firstLine="1280" w:firstLineChars="4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10</w:t>
            </w:r>
          </w:p>
        </w:tc>
      </w:tr>
    </w:tbl>
    <w:p w14:paraId="4A31E913">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（五）学生干部按以下标准进行加分，若取得两项及以上加分资格的，以其中最高分计，不累计加分。</w:t>
      </w:r>
    </w:p>
    <w:tbl>
      <w:tblPr>
        <w:tblStyle w:val="7"/>
        <w:tblW w:w="9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1379"/>
        <w:gridCol w:w="1300"/>
        <w:gridCol w:w="4734"/>
      </w:tblGrid>
      <w:tr w14:paraId="1E04566F">
        <w:tc>
          <w:tcPr>
            <w:tcW w:w="2106" w:type="dxa"/>
            <w:tcBorders>
              <w:top w:val="single" w:color="auto" w:sz="4" w:space="0"/>
              <w:left w:val="single" w:color="auto" w:sz="4" w:space="0"/>
              <w:bottom w:val="single" w:color="auto" w:sz="4" w:space="0"/>
              <w:right w:val="single" w:color="auto" w:sz="4" w:space="0"/>
            </w:tcBorders>
            <w:noWrap w:val="0"/>
            <w:vAlign w:val="center"/>
          </w:tcPr>
          <w:p w14:paraId="68994AC9">
            <w:pPr>
              <w:widowControl/>
              <w:spacing w:line="520" w:lineRule="exact"/>
              <w:ind w:firstLine="321" w:firstLineChars="100"/>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学生干部</w:t>
            </w:r>
          </w:p>
        </w:tc>
        <w:tc>
          <w:tcPr>
            <w:tcW w:w="1379" w:type="dxa"/>
            <w:tcBorders>
              <w:top w:val="single" w:color="auto" w:sz="4" w:space="0"/>
              <w:left w:val="nil"/>
              <w:bottom w:val="single" w:color="auto" w:sz="4" w:space="0"/>
              <w:right w:val="single" w:color="auto" w:sz="4" w:space="0"/>
            </w:tcBorders>
            <w:noWrap w:val="0"/>
            <w:vAlign w:val="center"/>
          </w:tcPr>
          <w:p w14:paraId="3C46138E">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认定单位</w:t>
            </w:r>
          </w:p>
        </w:tc>
        <w:tc>
          <w:tcPr>
            <w:tcW w:w="1300" w:type="dxa"/>
            <w:tcBorders>
              <w:top w:val="single" w:color="auto" w:sz="4" w:space="0"/>
              <w:left w:val="nil"/>
              <w:bottom w:val="single" w:color="auto" w:sz="4" w:space="0"/>
              <w:right w:val="single" w:color="auto" w:sz="4" w:space="0"/>
            </w:tcBorders>
            <w:noWrap w:val="0"/>
            <w:vAlign w:val="center"/>
          </w:tcPr>
          <w:p w14:paraId="306B48C7">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加分值</w:t>
            </w:r>
          </w:p>
        </w:tc>
        <w:tc>
          <w:tcPr>
            <w:tcW w:w="4734" w:type="dxa"/>
            <w:tcBorders>
              <w:top w:val="single" w:color="auto" w:sz="4" w:space="0"/>
              <w:left w:val="nil"/>
              <w:bottom w:val="single" w:color="auto" w:sz="4" w:space="0"/>
              <w:right w:val="single" w:color="auto" w:sz="4" w:space="0"/>
            </w:tcBorders>
            <w:noWrap w:val="0"/>
            <w:vAlign w:val="center"/>
          </w:tcPr>
          <w:p w14:paraId="6B315A2D">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补充说明</w:t>
            </w:r>
          </w:p>
        </w:tc>
      </w:tr>
      <w:tr w14:paraId="046E13B2">
        <w:tc>
          <w:tcPr>
            <w:tcW w:w="2106" w:type="dxa"/>
            <w:tcBorders>
              <w:top w:val="single" w:color="auto" w:sz="4" w:space="0"/>
              <w:left w:val="single" w:color="auto" w:sz="4" w:space="0"/>
              <w:bottom w:val="single" w:color="auto" w:sz="4" w:space="0"/>
              <w:right w:val="single" w:color="auto" w:sz="4" w:space="0"/>
            </w:tcBorders>
            <w:noWrap w:val="0"/>
            <w:vAlign w:val="center"/>
          </w:tcPr>
          <w:p w14:paraId="2DF462F2">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班级学生干部</w:t>
            </w:r>
          </w:p>
        </w:tc>
        <w:tc>
          <w:tcPr>
            <w:tcW w:w="1379" w:type="dxa"/>
            <w:tcBorders>
              <w:top w:val="single" w:color="auto" w:sz="4" w:space="0"/>
              <w:left w:val="nil"/>
              <w:bottom w:val="single" w:color="auto" w:sz="4" w:space="0"/>
              <w:right w:val="single" w:color="auto" w:sz="4" w:space="0"/>
            </w:tcBorders>
            <w:noWrap w:val="0"/>
            <w:vAlign w:val="center"/>
          </w:tcPr>
          <w:p w14:paraId="588FCD66">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班级测评小组</w:t>
            </w:r>
          </w:p>
        </w:tc>
        <w:tc>
          <w:tcPr>
            <w:tcW w:w="1300" w:type="dxa"/>
            <w:tcBorders>
              <w:top w:val="single" w:color="auto" w:sz="4" w:space="0"/>
              <w:left w:val="nil"/>
              <w:bottom w:val="single" w:color="auto" w:sz="4" w:space="0"/>
              <w:right w:val="single" w:color="auto" w:sz="4" w:space="0"/>
            </w:tcBorders>
            <w:noWrap w:val="0"/>
            <w:vAlign w:val="center"/>
          </w:tcPr>
          <w:p w14:paraId="6DA7D1F7">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0-5</w:t>
            </w:r>
          </w:p>
        </w:tc>
        <w:tc>
          <w:tcPr>
            <w:tcW w:w="4734" w:type="dxa"/>
            <w:tcBorders>
              <w:top w:val="single" w:color="auto" w:sz="4" w:space="0"/>
              <w:left w:val="nil"/>
              <w:bottom w:val="single" w:color="auto" w:sz="4" w:space="0"/>
              <w:right w:val="single" w:color="auto" w:sz="4" w:space="0"/>
            </w:tcBorders>
            <w:noWrap w:val="0"/>
            <w:vAlign w:val="center"/>
          </w:tcPr>
          <w:p w14:paraId="1AEFD707">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班长、团支书、学委每人加5分；其他班委、宿舍长每人加4分</w:t>
            </w:r>
          </w:p>
        </w:tc>
      </w:tr>
      <w:tr w14:paraId="23F7A7EF">
        <w:tc>
          <w:tcPr>
            <w:tcW w:w="2106" w:type="dxa"/>
            <w:tcBorders>
              <w:top w:val="single" w:color="auto" w:sz="4" w:space="0"/>
              <w:left w:val="single" w:color="auto" w:sz="4" w:space="0"/>
              <w:bottom w:val="single" w:color="auto" w:sz="4" w:space="0"/>
              <w:right w:val="single" w:color="auto" w:sz="4" w:space="0"/>
            </w:tcBorders>
            <w:noWrap w:val="0"/>
            <w:vAlign w:val="center"/>
          </w:tcPr>
          <w:p w14:paraId="3F1B02C6">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院系学生干部</w:t>
            </w:r>
          </w:p>
        </w:tc>
        <w:tc>
          <w:tcPr>
            <w:tcW w:w="1379" w:type="dxa"/>
            <w:tcBorders>
              <w:top w:val="single" w:color="auto" w:sz="4" w:space="0"/>
              <w:left w:val="nil"/>
              <w:bottom w:val="single" w:color="auto" w:sz="4" w:space="0"/>
              <w:right w:val="single" w:color="auto" w:sz="4" w:space="0"/>
            </w:tcBorders>
            <w:noWrap w:val="0"/>
            <w:vAlign w:val="center"/>
          </w:tcPr>
          <w:p w14:paraId="7E8E655D">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院系团总支</w:t>
            </w:r>
          </w:p>
        </w:tc>
        <w:tc>
          <w:tcPr>
            <w:tcW w:w="1300" w:type="dxa"/>
            <w:tcBorders>
              <w:top w:val="single" w:color="auto" w:sz="4" w:space="0"/>
              <w:left w:val="nil"/>
              <w:bottom w:val="single" w:color="auto" w:sz="4" w:space="0"/>
              <w:right w:val="single" w:color="auto" w:sz="4" w:space="0"/>
            </w:tcBorders>
            <w:noWrap w:val="0"/>
            <w:vAlign w:val="center"/>
          </w:tcPr>
          <w:p w14:paraId="76BEB240">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0-6</w:t>
            </w:r>
          </w:p>
        </w:tc>
        <w:tc>
          <w:tcPr>
            <w:tcW w:w="4734" w:type="dxa"/>
            <w:tcBorders>
              <w:top w:val="single" w:color="auto" w:sz="4" w:space="0"/>
              <w:left w:val="nil"/>
              <w:bottom w:val="single" w:color="auto" w:sz="4" w:space="0"/>
              <w:right w:val="single" w:color="auto" w:sz="4" w:space="0"/>
            </w:tcBorders>
            <w:noWrap w:val="0"/>
            <w:vAlign w:val="center"/>
          </w:tcPr>
          <w:p w14:paraId="0A52F288">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党支部、团委、学生会、科协、青协</w:t>
            </w:r>
          </w:p>
          <w:p w14:paraId="7371EFB8">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主席团加6分</w:t>
            </w:r>
          </w:p>
          <w:p w14:paraId="16FDA583">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部长、副部长加4分</w:t>
            </w:r>
          </w:p>
        </w:tc>
      </w:tr>
      <w:tr w14:paraId="73D37290">
        <w:tc>
          <w:tcPr>
            <w:tcW w:w="2106" w:type="dxa"/>
            <w:tcBorders>
              <w:top w:val="single" w:color="auto" w:sz="4" w:space="0"/>
              <w:left w:val="single" w:color="auto" w:sz="4" w:space="0"/>
              <w:bottom w:val="single" w:color="auto" w:sz="4" w:space="0"/>
              <w:right w:val="single" w:color="auto" w:sz="4" w:space="0"/>
            </w:tcBorders>
            <w:noWrap w:val="0"/>
            <w:vAlign w:val="center"/>
          </w:tcPr>
          <w:p w14:paraId="4D4B11F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学生助理</w:t>
            </w:r>
          </w:p>
          <w:p w14:paraId="30B02F5C">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学生助教</w:t>
            </w:r>
          </w:p>
        </w:tc>
        <w:tc>
          <w:tcPr>
            <w:tcW w:w="1379" w:type="dxa"/>
            <w:tcBorders>
              <w:top w:val="single" w:color="auto" w:sz="4" w:space="0"/>
              <w:left w:val="nil"/>
              <w:bottom w:val="single" w:color="auto" w:sz="4" w:space="0"/>
              <w:right w:val="single" w:color="auto" w:sz="4" w:space="0"/>
            </w:tcBorders>
            <w:noWrap w:val="0"/>
            <w:vAlign w:val="center"/>
          </w:tcPr>
          <w:p w14:paraId="2952951E">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学生发展中心</w:t>
            </w:r>
          </w:p>
        </w:tc>
        <w:tc>
          <w:tcPr>
            <w:tcW w:w="1300" w:type="dxa"/>
            <w:tcBorders>
              <w:top w:val="single" w:color="auto" w:sz="4" w:space="0"/>
              <w:left w:val="nil"/>
              <w:bottom w:val="single" w:color="auto" w:sz="4" w:space="0"/>
              <w:right w:val="single" w:color="auto" w:sz="4" w:space="0"/>
            </w:tcBorders>
            <w:noWrap w:val="0"/>
            <w:vAlign w:val="center"/>
          </w:tcPr>
          <w:p w14:paraId="573254C2">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4</w:t>
            </w:r>
          </w:p>
        </w:tc>
        <w:tc>
          <w:tcPr>
            <w:tcW w:w="4734" w:type="dxa"/>
            <w:tcBorders>
              <w:top w:val="single" w:color="auto" w:sz="4" w:space="0"/>
              <w:left w:val="nil"/>
              <w:bottom w:val="single" w:color="auto" w:sz="4" w:space="0"/>
              <w:right w:val="single" w:color="auto" w:sz="4" w:space="0"/>
            </w:tcBorders>
            <w:noWrap w:val="0"/>
            <w:vAlign w:val="center"/>
          </w:tcPr>
          <w:p w14:paraId="24E5995C">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每人加4分</w:t>
            </w:r>
          </w:p>
        </w:tc>
      </w:tr>
      <w:tr w14:paraId="1D86F186">
        <w:tc>
          <w:tcPr>
            <w:tcW w:w="2106" w:type="dxa"/>
            <w:tcBorders>
              <w:top w:val="single" w:color="auto" w:sz="4" w:space="0"/>
              <w:left w:val="single" w:color="auto" w:sz="4" w:space="0"/>
              <w:bottom w:val="single" w:color="auto" w:sz="4" w:space="0"/>
              <w:right w:val="single" w:color="auto" w:sz="4" w:space="0"/>
            </w:tcBorders>
            <w:noWrap w:val="0"/>
            <w:vAlign w:val="center"/>
          </w:tcPr>
          <w:p w14:paraId="67898F6A">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校级学生干部</w:t>
            </w:r>
          </w:p>
        </w:tc>
        <w:tc>
          <w:tcPr>
            <w:tcW w:w="1379" w:type="dxa"/>
            <w:tcBorders>
              <w:top w:val="single" w:color="auto" w:sz="4" w:space="0"/>
              <w:left w:val="nil"/>
              <w:bottom w:val="single" w:color="auto" w:sz="4" w:space="0"/>
              <w:right w:val="single" w:color="auto" w:sz="4" w:space="0"/>
            </w:tcBorders>
            <w:noWrap w:val="0"/>
            <w:vAlign w:val="center"/>
          </w:tcPr>
          <w:p w14:paraId="7DA820A2">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校团委</w:t>
            </w:r>
          </w:p>
        </w:tc>
        <w:tc>
          <w:tcPr>
            <w:tcW w:w="1300" w:type="dxa"/>
            <w:tcBorders>
              <w:top w:val="single" w:color="auto" w:sz="4" w:space="0"/>
              <w:left w:val="nil"/>
              <w:bottom w:val="single" w:color="auto" w:sz="4" w:space="0"/>
              <w:right w:val="single" w:color="auto" w:sz="4" w:space="0"/>
            </w:tcBorders>
            <w:noWrap w:val="0"/>
            <w:vAlign w:val="center"/>
          </w:tcPr>
          <w:p w14:paraId="2D7BFE93">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0-8</w:t>
            </w:r>
          </w:p>
        </w:tc>
        <w:tc>
          <w:tcPr>
            <w:tcW w:w="4734" w:type="dxa"/>
            <w:tcBorders>
              <w:top w:val="single" w:color="auto" w:sz="4" w:space="0"/>
              <w:left w:val="nil"/>
              <w:bottom w:val="single" w:color="auto" w:sz="4" w:space="0"/>
              <w:right w:val="single" w:color="auto" w:sz="4" w:space="0"/>
            </w:tcBorders>
            <w:noWrap w:val="0"/>
            <w:vAlign w:val="center"/>
          </w:tcPr>
          <w:p w14:paraId="64E4698E">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主席团加8分</w:t>
            </w:r>
          </w:p>
          <w:p w14:paraId="43BBDE49">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部长、副部长加5分</w:t>
            </w:r>
          </w:p>
          <w:p w14:paraId="1284E5F6">
            <w:pPr>
              <w:widowControl/>
              <w:spacing w:line="520" w:lineRule="exact"/>
              <w:jc w:val="both"/>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社团不加分</w:t>
            </w:r>
          </w:p>
        </w:tc>
      </w:tr>
    </w:tbl>
    <w:p w14:paraId="5175E816">
      <w:pPr>
        <w:widowControl/>
        <w:spacing w:line="520" w:lineRule="exact"/>
        <w:ind w:firstLine="643"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第九条</w:t>
      </w:r>
      <w:r>
        <w:rPr>
          <w:rFonts w:hint="eastAsia" w:ascii="仿宋" w:hAnsi="仿宋" w:eastAsia="仿宋" w:cs="仿宋"/>
          <w:color w:val="auto"/>
          <w:kern w:val="0"/>
          <w:sz w:val="32"/>
          <w:szCs w:val="32"/>
          <w:highlight w:val="none"/>
          <w:shd w:val="clear" w:color="auto" w:fill="FFFFFF"/>
        </w:rPr>
        <w:t xml:space="preserve"> 品德行为分中的扣罚分（A3）用于对违规违纪者和综合表现较差者减分，包括以下三项：</w:t>
      </w:r>
    </w:p>
    <w:p w14:paraId="2E44AD4D">
      <w:pPr>
        <w:widowControl/>
        <w:spacing w:line="520" w:lineRule="exact"/>
        <w:ind w:firstLine="640"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（一）受留校察看处分者扣30分，记过处分者扣25分，严重警告处分者扣20分，警告处分者扣15分，院系认定的其它通报批评等由各院系依据本单位情况制定相应扣分标准。</w:t>
      </w:r>
    </w:p>
    <w:p w14:paraId="75298563">
      <w:pPr>
        <w:widowControl/>
        <w:spacing w:line="520" w:lineRule="exact"/>
        <w:ind w:firstLine="640" w:firstLineChars="200"/>
        <w:rPr>
          <w:rFonts w:hint="eastAsia" w:ascii="仿宋" w:hAnsi="仿宋" w:eastAsia="仿宋" w:cs="仿宋"/>
          <w:color w:val="auto"/>
          <w:kern w:val="0"/>
          <w:sz w:val="32"/>
          <w:szCs w:val="32"/>
          <w:highlight w:val="green"/>
          <w:shd w:val="clear" w:color="auto" w:fill="FFFFFF"/>
        </w:rPr>
      </w:pPr>
      <w:r>
        <w:rPr>
          <w:rFonts w:hint="eastAsia" w:ascii="仿宋" w:hAnsi="仿宋" w:eastAsia="仿宋" w:cs="仿宋"/>
          <w:color w:val="auto"/>
          <w:kern w:val="0"/>
          <w:sz w:val="32"/>
          <w:szCs w:val="32"/>
          <w:highlight w:val="green"/>
          <w:shd w:val="clear" w:color="auto" w:fill="FFFFFF"/>
        </w:rPr>
        <w:t>（二）校级文明宿舍评比，成绩为40-60分，宿舍成员每人扣10分；成绩为40分以下，每人扣20分。</w:t>
      </w:r>
    </w:p>
    <w:p w14:paraId="27EBB559">
      <w:pPr>
        <w:widowControl/>
        <w:spacing w:line="520" w:lineRule="exact"/>
        <w:ind w:firstLine="640"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（三）班级测评小组可根据学生日常表现，对组织纪律、文明修养、学习态度等方面表现较差的学生扣5—10分。</w:t>
      </w:r>
    </w:p>
    <w:p w14:paraId="20189DD3">
      <w:pPr>
        <w:widowControl/>
        <w:spacing w:line="520" w:lineRule="exact"/>
        <w:ind w:firstLine="643" w:firstLineChars="2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补充说明：</w:t>
      </w:r>
    </w:p>
    <w:p w14:paraId="52EDF69F">
      <w:pPr>
        <w:widowControl/>
        <w:spacing w:line="520" w:lineRule="exact"/>
        <w:ind w:firstLine="643" w:firstLineChars="2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除了以上三项扣罚分之外，</w:t>
      </w:r>
    </w:p>
    <w:p w14:paraId="38901C21">
      <w:pPr>
        <w:widowControl/>
        <w:numPr>
          <w:ilvl w:val="0"/>
          <w:numId w:val="2"/>
        </w:numPr>
        <w:spacing w:line="520" w:lineRule="exact"/>
        <w:ind w:firstLine="643" w:firstLineChars="2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旷课每学时（一单元课计2学时）扣0.5分旷晚自习一次扣0.5分；</w:t>
      </w:r>
    </w:p>
    <w:p w14:paraId="7D7E13DB">
      <w:pPr>
        <w:widowControl/>
        <w:numPr>
          <w:ilvl w:val="0"/>
          <w:numId w:val="2"/>
        </w:numPr>
        <w:spacing w:line="520" w:lineRule="exact"/>
        <w:ind w:firstLine="643" w:firstLineChars="2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校级文明宿舍评比，成绩为</w:t>
      </w:r>
      <w:r>
        <w:rPr>
          <w:rFonts w:hint="eastAsia" w:ascii="仿宋" w:hAnsi="仿宋" w:eastAsia="仿宋" w:cs="仿宋"/>
          <w:b/>
          <w:bCs/>
          <w:color w:val="auto"/>
          <w:kern w:val="0"/>
          <w:sz w:val="32"/>
          <w:szCs w:val="32"/>
          <w:highlight w:val="none"/>
          <w:shd w:val="clear" w:color="auto" w:fill="FFFFFF"/>
          <w:lang w:val="en-US" w:eastAsia="zh-CN"/>
        </w:rPr>
        <w:t>61-74</w:t>
      </w:r>
      <w:r>
        <w:rPr>
          <w:rFonts w:hint="eastAsia" w:ascii="仿宋" w:hAnsi="仿宋" w:eastAsia="仿宋" w:cs="仿宋"/>
          <w:b/>
          <w:bCs/>
          <w:color w:val="auto"/>
          <w:kern w:val="0"/>
          <w:sz w:val="32"/>
          <w:szCs w:val="32"/>
          <w:highlight w:val="none"/>
          <w:shd w:val="clear" w:color="auto" w:fill="FFFFFF"/>
        </w:rPr>
        <w:t>分的，宿舍成员每人扣5分；</w:t>
      </w:r>
    </w:p>
    <w:p w14:paraId="228D5F80">
      <w:pPr>
        <w:widowControl/>
        <w:numPr>
          <w:ilvl w:val="0"/>
          <w:numId w:val="2"/>
        </w:numPr>
        <w:spacing w:line="520" w:lineRule="exact"/>
        <w:ind w:firstLine="643" w:firstLineChars="200"/>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受学院通报批评的，每次扣10分。</w:t>
      </w:r>
    </w:p>
    <w:p w14:paraId="0A8CD565">
      <w:pPr>
        <w:keepNext w:val="0"/>
        <w:keepLines w:val="0"/>
        <w:pageBreakBefore w:val="0"/>
        <w:widowControl/>
        <w:kinsoku/>
        <w:wordWrap/>
        <w:overflowPunct/>
        <w:topLinePunct w:val="0"/>
        <w:autoSpaceDE/>
        <w:autoSpaceDN/>
        <w:bidi w:val="0"/>
        <w:adjustRightInd/>
        <w:snapToGrid/>
        <w:spacing w:before="313" w:beforeLines="100" w:after="157" w:afterLines="50" w:line="520" w:lineRule="exact"/>
        <w:jc w:val="center"/>
        <w:textAlignment w:val="auto"/>
        <w:rPr>
          <w:rFonts w:hint="eastAsia" w:ascii="黑体" w:hAnsi="黑体" w:eastAsia="黑体"/>
          <w:bCs/>
          <w:color w:val="000000"/>
          <w:kern w:val="0"/>
          <w:sz w:val="32"/>
          <w:szCs w:val="32"/>
          <w:shd w:val="clear" w:color="auto" w:fill="FFFFFF"/>
        </w:rPr>
      </w:pPr>
      <w:r>
        <w:rPr>
          <w:rFonts w:hint="eastAsia" w:ascii="黑体" w:hAnsi="黑体" w:eastAsia="黑体"/>
          <w:bCs/>
          <w:color w:val="000000"/>
          <w:kern w:val="0"/>
          <w:sz w:val="32"/>
          <w:szCs w:val="32"/>
          <w:shd w:val="clear" w:color="auto" w:fill="FFFFFF"/>
        </w:rPr>
        <w:t>第三章  学习成绩分计算办法</w:t>
      </w:r>
    </w:p>
    <w:p w14:paraId="01F06857">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rPr>
      </w:pPr>
      <w:r>
        <w:rPr>
          <w:rFonts w:hint="eastAsia" w:ascii="仿宋" w:hAnsi="仿宋" w:eastAsia="仿宋" w:cs="仿宋"/>
          <w:b/>
          <w:bCs/>
          <w:color w:val="auto"/>
          <w:kern w:val="0"/>
          <w:sz w:val="32"/>
          <w:szCs w:val="32"/>
          <w:highlight w:val="none"/>
        </w:rPr>
        <w:t>第十条</w:t>
      </w:r>
      <w:r>
        <w:rPr>
          <w:rFonts w:hint="eastAsia" w:ascii="仿宋" w:hAnsi="仿宋" w:eastAsia="仿宋" w:cs="仿宋"/>
          <w:color w:val="auto"/>
          <w:kern w:val="0"/>
          <w:sz w:val="32"/>
          <w:szCs w:val="32"/>
          <w:highlight w:val="none"/>
        </w:rPr>
        <w:t xml:space="preserve"> 学习成绩分是指重修、补考前的必修课、选修课、限选课等各门课程的平均成绩，因课程科目不同步，公选课和辅修课暂不计入内。申请缓考的科目可采用缓考成绩，计算公式为：B=∑课程学分数*课程分数/∑课程总学分数。</w:t>
      </w:r>
    </w:p>
    <w:p w14:paraId="142078F0">
      <w:pPr>
        <w:keepNext w:val="0"/>
        <w:keepLines w:val="0"/>
        <w:pageBreakBefore w:val="0"/>
        <w:widowControl/>
        <w:kinsoku/>
        <w:wordWrap/>
        <w:overflowPunct/>
        <w:topLinePunct w:val="0"/>
        <w:autoSpaceDE/>
        <w:autoSpaceDN/>
        <w:bidi w:val="0"/>
        <w:adjustRightInd/>
        <w:snapToGrid/>
        <w:spacing w:before="313" w:beforeLines="100" w:after="157" w:afterLines="50" w:line="520" w:lineRule="exact"/>
        <w:jc w:val="center"/>
        <w:textAlignment w:val="auto"/>
        <w:rPr>
          <w:rFonts w:hint="eastAsia" w:ascii="黑体" w:hAnsi="黑体" w:eastAsia="黑体"/>
          <w:bCs/>
          <w:color w:val="000000"/>
          <w:kern w:val="0"/>
          <w:sz w:val="32"/>
          <w:szCs w:val="32"/>
          <w:shd w:val="clear" w:color="auto" w:fill="FFFFFF"/>
        </w:rPr>
      </w:pPr>
      <w:r>
        <w:rPr>
          <w:rFonts w:hint="eastAsia" w:ascii="黑体" w:hAnsi="黑体" w:eastAsia="黑体"/>
          <w:bCs/>
          <w:color w:val="000000"/>
          <w:kern w:val="0"/>
          <w:sz w:val="32"/>
          <w:szCs w:val="32"/>
          <w:shd w:val="clear" w:color="auto" w:fill="FFFFFF"/>
        </w:rPr>
        <w:t xml:space="preserve">第四章 </w:t>
      </w:r>
      <w:r>
        <w:rPr>
          <w:rFonts w:hint="eastAsia" w:ascii="黑体" w:hAnsi="黑体" w:eastAsia="黑体"/>
          <w:bCs/>
          <w:color w:val="000000"/>
          <w:kern w:val="0"/>
          <w:sz w:val="32"/>
          <w:szCs w:val="32"/>
          <w:shd w:val="clear" w:color="auto" w:fill="FFFFFF"/>
          <w:lang w:val="en-US" w:eastAsia="zh-CN"/>
        </w:rPr>
        <w:t xml:space="preserve"> </w:t>
      </w:r>
      <w:r>
        <w:rPr>
          <w:rFonts w:hint="eastAsia" w:ascii="黑体" w:hAnsi="黑体" w:eastAsia="黑体"/>
          <w:bCs/>
          <w:color w:val="000000"/>
          <w:kern w:val="0"/>
          <w:sz w:val="32"/>
          <w:szCs w:val="32"/>
          <w:shd w:val="clear" w:color="auto" w:fill="FFFFFF"/>
        </w:rPr>
        <w:t>素质拓展分计算办法</w:t>
      </w:r>
    </w:p>
    <w:p w14:paraId="63403CB5">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第十一条</w:t>
      </w:r>
      <w:r>
        <w:rPr>
          <w:rFonts w:hint="eastAsia" w:ascii="仿宋" w:hAnsi="仿宋" w:eastAsia="仿宋" w:cs="仿宋"/>
          <w:color w:val="auto"/>
          <w:kern w:val="0"/>
          <w:sz w:val="32"/>
          <w:szCs w:val="32"/>
          <w:highlight w:val="none"/>
          <w:shd w:val="clear" w:color="auto" w:fill="FFFFFF"/>
        </w:rPr>
        <w:t xml:space="preserve"> 素质拓展分是指在课外科技、体育、文化、创新创业实践活动四个方面中表现突出的学生个人进行考评加分。</w:t>
      </w:r>
    </w:p>
    <w:p w14:paraId="2E724743">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 xml:space="preserve">计算公式：C=C1+C2+C3+C4 </w:t>
      </w:r>
    </w:p>
    <w:p w14:paraId="34A21E50">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其中：C — 素质拓展分</w:t>
      </w:r>
    </w:p>
    <w:p w14:paraId="4970C6EC">
      <w:pPr>
        <w:keepNext w:val="0"/>
        <w:keepLines w:val="0"/>
        <w:pageBreakBefore w:val="0"/>
        <w:widowControl/>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C1 — 参加科技类项目奖励加分</w:t>
      </w:r>
    </w:p>
    <w:p w14:paraId="0559CD3A">
      <w:pPr>
        <w:keepNext w:val="0"/>
        <w:keepLines w:val="0"/>
        <w:pageBreakBefore w:val="0"/>
        <w:widowControl/>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C2 — 参加体育类项目奖励加分</w:t>
      </w:r>
    </w:p>
    <w:p w14:paraId="006A4BE1">
      <w:pPr>
        <w:keepNext w:val="0"/>
        <w:keepLines w:val="0"/>
        <w:pageBreakBefore w:val="0"/>
        <w:widowControl/>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C3 — 参加文化类项目奖励加分</w:t>
      </w:r>
    </w:p>
    <w:p w14:paraId="2C1A9187">
      <w:pPr>
        <w:keepNext w:val="0"/>
        <w:keepLines w:val="0"/>
        <w:pageBreakBefore w:val="0"/>
        <w:widowControl/>
        <w:kinsoku/>
        <w:wordWrap/>
        <w:overflowPunct/>
        <w:topLinePunct w:val="0"/>
        <w:autoSpaceDE/>
        <w:autoSpaceDN/>
        <w:bidi w:val="0"/>
        <w:adjustRightInd/>
        <w:snapToGrid/>
        <w:spacing w:line="560" w:lineRule="exact"/>
        <w:ind w:firstLine="1600" w:firstLineChars="5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C4 — 参加创新创业实践项目奖励加分</w:t>
      </w:r>
    </w:p>
    <w:p w14:paraId="03DF9FE4">
      <w:pPr>
        <w:keepNext w:val="0"/>
        <w:keepLines w:val="0"/>
        <w:pageBreakBefore w:val="0"/>
        <w:widowControl/>
        <w:kinsoku/>
        <w:wordWrap/>
        <w:overflowPunct/>
        <w:topLinePunct w:val="0"/>
        <w:autoSpaceDE/>
        <w:autoSpaceDN/>
        <w:bidi w:val="0"/>
        <w:adjustRightInd/>
        <w:snapToGrid/>
        <w:spacing w:line="560" w:lineRule="exact"/>
        <w:ind w:firstLine="803" w:firstLineChars="25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第十二条</w:t>
      </w:r>
      <w:r>
        <w:rPr>
          <w:rFonts w:hint="eastAsia" w:ascii="仿宋" w:hAnsi="仿宋" w:eastAsia="仿宋" w:cs="仿宋"/>
          <w:color w:val="auto"/>
          <w:kern w:val="0"/>
          <w:sz w:val="32"/>
          <w:szCs w:val="32"/>
          <w:highlight w:val="none"/>
          <w:shd w:val="clear" w:color="auto" w:fill="FFFFFF"/>
        </w:rPr>
        <w:t xml:space="preserve"> 素质拓展分中，学生参加科技类活动奖励加分（C1），最高分为40分。</w:t>
      </w:r>
    </w:p>
    <w:p w14:paraId="01EB27BD">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获大学生学术科技作品竞赛和各学科竞赛相应等级的，按以下标准进行加分，其中竞赛项目和类别按照《北华航天工业学院教学工作奖励办法》进行认定。依据获奖证书，排名前三的作者，第一名加满分，第二名加60%，第三名加30%，</w:t>
      </w:r>
      <w:r>
        <w:rPr>
          <w:rFonts w:hint="eastAsia" w:ascii="仿宋" w:hAnsi="仿宋" w:eastAsia="仿宋" w:cs="仿宋"/>
          <w:b/>
          <w:bCs/>
          <w:color w:val="auto"/>
          <w:kern w:val="0"/>
          <w:sz w:val="32"/>
          <w:szCs w:val="32"/>
          <w:highlight w:val="none"/>
          <w:shd w:val="clear" w:color="auto" w:fill="FFFFFF"/>
        </w:rPr>
        <w:t>第三名之后的作者统一加10%（如出现小数四舍五入取整）。</w:t>
      </w:r>
    </w:p>
    <w:p w14:paraId="451B195A">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认定方式：获奖证书/学院统一下发的参赛名单</w:t>
      </w:r>
    </w:p>
    <w:tbl>
      <w:tblPr>
        <w:tblStyle w:val="7"/>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1683"/>
        <w:gridCol w:w="1583"/>
        <w:gridCol w:w="1600"/>
        <w:gridCol w:w="1500"/>
        <w:gridCol w:w="1434"/>
      </w:tblGrid>
      <w:tr w14:paraId="3CE7A4C4">
        <w:trPr>
          <w:jc w:val="center"/>
        </w:trPr>
        <w:tc>
          <w:tcPr>
            <w:tcW w:w="1518" w:type="dxa"/>
            <w:tcBorders>
              <w:tl2br w:val="nil"/>
              <w:tr2bl w:val="nil"/>
            </w:tcBorders>
            <w:noWrap w:val="0"/>
            <w:vAlign w:val="top"/>
          </w:tcPr>
          <w:p w14:paraId="54F8CF02">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获奖级别</w:t>
            </w:r>
          </w:p>
          <w:p w14:paraId="60E7E22B">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项目类别</w:t>
            </w:r>
          </w:p>
        </w:tc>
        <w:tc>
          <w:tcPr>
            <w:tcW w:w="1683" w:type="dxa"/>
            <w:tcBorders>
              <w:tl2br w:val="nil"/>
              <w:tr2bl w:val="nil"/>
            </w:tcBorders>
            <w:noWrap w:val="0"/>
            <w:vAlign w:val="center"/>
          </w:tcPr>
          <w:p w14:paraId="065F8CDB">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国家级</w:t>
            </w:r>
          </w:p>
        </w:tc>
        <w:tc>
          <w:tcPr>
            <w:tcW w:w="1583" w:type="dxa"/>
            <w:tcBorders>
              <w:tl2br w:val="nil"/>
              <w:tr2bl w:val="nil"/>
            </w:tcBorders>
            <w:noWrap w:val="0"/>
            <w:vAlign w:val="center"/>
          </w:tcPr>
          <w:p w14:paraId="6DF9A708">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省级</w:t>
            </w:r>
          </w:p>
        </w:tc>
        <w:tc>
          <w:tcPr>
            <w:tcW w:w="1600" w:type="dxa"/>
            <w:tcBorders>
              <w:tl2br w:val="nil"/>
              <w:tr2bl w:val="nil"/>
            </w:tcBorders>
            <w:noWrap w:val="0"/>
            <w:vAlign w:val="center"/>
          </w:tcPr>
          <w:p w14:paraId="54988628">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市级</w:t>
            </w:r>
          </w:p>
        </w:tc>
        <w:tc>
          <w:tcPr>
            <w:tcW w:w="1500" w:type="dxa"/>
            <w:tcBorders>
              <w:tl2br w:val="nil"/>
              <w:tr2bl w:val="nil"/>
            </w:tcBorders>
            <w:noWrap w:val="0"/>
            <w:vAlign w:val="center"/>
          </w:tcPr>
          <w:p w14:paraId="6EB6E32B">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校级</w:t>
            </w:r>
          </w:p>
        </w:tc>
        <w:tc>
          <w:tcPr>
            <w:tcW w:w="1434" w:type="dxa"/>
            <w:tcBorders>
              <w:tl2br w:val="nil"/>
              <w:tr2bl w:val="nil"/>
            </w:tcBorders>
            <w:noWrap w:val="0"/>
            <w:vAlign w:val="center"/>
          </w:tcPr>
          <w:p w14:paraId="4F5CEDFD">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补充：院级</w:t>
            </w:r>
          </w:p>
        </w:tc>
      </w:tr>
      <w:tr w14:paraId="116FC7C5">
        <w:trPr>
          <w:jc w:val="center"/>
        </w:trPr>
        <w:tc>
          <w:tcPr>
            <w:tcW w:w="1518" w:type="dxa"/>
            <w:vMerge w:val="restart"/>
            <w:tcBorders>
              <w:tl2br w:val="nil"/>
              <w:tr2bl w:val="nil"/>
            </w:tcBorders>
            <w:noWrap w:val="0"/>
            <w:vAlign w:val="center"/>
          </w:tcPr>
          <w:p w14:paraId="4C1208C8">
            <w:pPr>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A类</w:t>
            </w:r>
          </w:p>
        </w:tc>
        <w:tc>
          <w:tcPr>
            <w:tcW w:w="1683" w:type="dxa"/>
            <w:tcBorders>
              <w:tl2br w:val="nil"/>
              <w:tr2bl w:val="nil"/>
            </w:tcBorders>
            <w:noWrap w:val="0"/>
            <w:vAlign w:val="center"/>
          </w:tcPr>
          <w:p w14:paraId="09822192">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特等奖40</w:t>
            </w:r>
          </w:p>
        </w:tc>
        <w:tc>
          <w:tcPr>
            <w:tcW w:w="1583" w:type="dxa"/>
            <w:tcBorders>
              <w:tl2br w:val="nil"/>
              <w:tr2bl w:val="nil"/>
            </w:tcBorders>
            <w:noWrap w:val="0"/>
            <w:vAlign w:val="center"/>
          </w:tcPr>
          <w:p w14:paraId="52FF7DAA">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特等奖25</w:t>
            </w:r>
          </w:p>
        </w:tc>
        <w:tc>
          <w:tcPr>
            <w:tcW w:w="1600" w:type="dxa"/>
            <w:tcBorders>
              <w:tl2br w:val="nil"/>
              <w:tr2bl w:val="nil"/>
            </w:tcBorders>
            <w:noWrap w:val="0"/>
            <w:vAlign w:val="center"/>
          </w:tcPr>
          <w:p w14:paraId="25932C67">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特等奖15</w:t>
            </w:r>
          </w:p>
        </w:tc>
        <w:tc>
          <w:tcPr>
            <w:tcW w:w="1500" w:type="dxa"/>
            <w:tcBorders>
              <w:tl2br w:val="nil"/>
              <w:tr2bl w:val="nil"/>
            </w:tcBorders>
            <w:noWrap w:val="0"/>
            <w:vAlign w:val="center"/>
          </w:tcPr>
          <w:p w14:paraId="43B682CF">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p>
        </w:tc>
        <w:tc>
          <w:tcPr>
            <w:tcW w:w="1434" w:type="dxa"/>
            <w:tcBorders>
              <w:tl2br w:val="nil"/>
              <w:tr2bl w:val="nil"/>
            </w:tcBorders>
            <w:noWrap w:val="0"/>
            <w:vAlign w:val="center"/>
          </w:tcPr>
          <w:p w14:paraId="763C522E">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p>
        </w:tc>
      </w:tr>
      <w:tr w14:paraId="0D66E93A">
        <w:trPr>
          <w:jc w:val="center"/>
        </w:trPr>
        <w:tc>
          <w:tcPr>
            <w:tcW w:w="1518" w:type="dxa"/>
            <w:vMerge w:val="continue"/>
            <w:tcBorders>
              <w:tl2br w:val="nil"/>
              <w:tr2bl w:val="nil"/>
            </w:tcBorders>
            <w:noWrap w:val="0"/>
            <w:vAlign w:val="center"/>
          </w:tcPr>
          <w:p w14:paraId="0AD590B4">
            <w:pPr>
              <w:widowControl/>
              <w:jc w:val="center"/>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41449A8E">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 30</w:t>
            </w:r>
          </w:p>
        </w:tc>
        <w:tc>
          <w:tcPr>
            <w:tcW w:w="1583" w:type="dxa"/>
            <w:tcBorders>
              <w:tl2br w:val="nil"/>
              <w:tr2bl w:val="nil"/>
            </w:tcBorders>
            <w:noWrap w:val="0"/>
            <w:vAlign w:val="top"/>
          </w:tcPr>
          <w:p w14:paraId="5AF89B91">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一等奖20</w:t>
            </w:r>
          </w:p>
        </w:tc>
        <w:tc>
          <w:tcPr>
            <w:tcW w:w="1600" w:type="dxa"/>
            <w:tcBorders>
              <w:tl2br w:val="nil"/>
              <w:tr2bl w:val="nil"/>
            </w:tcBorders>
            <w:noWrap w:val="0"/>
            <w:vAlign w:val="top"/>
          </w:tcPr>
          <w:p w14:paraId="2C57C4A9">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一等奖12</w:t>
            </w:r>
          </w:p>
        </w:tc>
        <w:tc>
          <w:tcPr>
            <w:tcW w:w="1500" w:type="dxa"/>
            <w:tcBorders>
              <w:tl2br w:val="nil"/>
              <w:tr2bl w:val="nil"/>
            </w:tcBorders>
            <w:noWrap w:val="0"/>
            <w:vAlign w:val="top"/>
          </w:tcPr>
          <w:p w14:paraId="5256E46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一等奖10</w:t>
            </w:r>
          </w:p>
        </w:tc>
        <w:tc>
          <w:tcPr>
            <w:tcW w:w="1434" w:type="dxa"/>
            <w:tcBorders>
              <w:tl2br w:val="nil"/>
              <w:tr2bl w:val="nil"/>
            </w:tcBorders>
            <w:noWrap w:val="0"/>
            <w:vAlign w:val="top"/>
          </w:tcPr>
          <w:p w14:paraId="1AB5B25E">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一等奖8</w:t>
            </w:r>
          </w:p>
        </w:tc>
      </w:tr>
      <w:tr w14:paraId="01D5BBC6">
        <w:trPr>
          <w:jc w:val="center"/>
        </w:trPr>
        <w:tc>
          <w:tcPr>
            <w:tcW w:w="1518" w:type="dxa"/>
            <w:vMerge w:val="continue"/>
            <w:tcBorders>
              <w:tl2br w:val="nil"/>
              <w:tr2bl w:val="nil"/>
            </w:tcBorders>
            <w:noWrap w:val="0"/>
            <w:vAlign w:val="center"/>
          </w:tcPr>
          <w:p w14:paraId="503B5062">
            <w:pPr>
              <w:widowControl/>
              <w:jc w:val="center"/>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2811913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二等奖25</w:t>
            </w:r>
          </w:p>
        </w:tc>
        <w:tc>
          <w:tcPr>
            <w:tcW w:w="1583" w:type="dxa"/>
            <w:tcBorders>
              <w:tl2br w:val="nil"/>
              <w:tr2bl w:val="nil"/>
            </w:tcBorders>
            <w:noWrap w:val="0"/>
            <w:vAlign w:val="top"/>
          </w:tcPr>
          <w:p w14:paraId="3F66E9CA">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二等奖15</w:t>
            </w:r>
          </w:p>
        </w:tc>
        <w:tc>
          <w:tcPr>
            <w:tcW w:w="1600" w:type="dxa"/>
            <w:tcBorders>
              <w:tl2br w:val="nil"/>
              <w:tr2bl w:val="nil"/>
            </w:tcBorders>
            <w:noWrap w:val="0"/>
            <w:vAlign w:val="top"/>
          </w:tcPr>
          <w:p w14:paraId="61437123">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二等奖10</w:t>
            </w:r>
          </w:p>
        </w:tc>
        <w:tc>
          <w:tcPr>
            <w:tcW w:w="1500" w:type="dxa"/>
            <w:tcBorders>
              <w:tl2br w:val="nil"/>
              <w:tr2bl w:val="nil"/>
            </w:tcBorders>
            <w:noWrap w:val="0"/>
            <w:vAlign w:val="top"/>
          </w:tcPr>
          <w:p w14:paraId="2FB35CCD">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二等奖8</w:t>
            </w:r>
          </w:p>
        </w:tc>
        <w:tc>
          <w:tcPr>
            <w:tcW w:w="1434" w:type="dxa"/>
            <w:tcBorders>
              <w:tl2br w:val="nil"/>
              <w:tr2bl w:val="nil"/>
            </w:tcBorders>
            <w:noWrap w:val="0"/>
            <w:vAlign w:val="top"/>
          </w:tcPr>
          <w:p w14:paraId="7654ACCC">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二等奖6</w:t>
            </w:r>
          </w:p>
        </w:tc>
      </w:tr>
      <w:tr w14:paraId="7F7EF489">
        <w:trPr>
          <w:jc w:val="center"/>
        </w:trPr>
        <w:tc>
          <w:tcPr>
            <w:tcW w:w="1518" w:type="dxa"/>
            <w:vMerge w:val="continue"/>
            <w:tcBorders>
              <w:tl2br w:val="nil"/>
              <w:tr2bl w:val="nil"/>
            </w:tcBorders>
            <w:noWrap w:val="0"/>
            <w:vAlign w:val="center"/>
          </w:tcPr>
          <w:p w14:paraId="1E5CEB69">
            <w:pPr>
              <w:widowControl/>
              <w:jc w:val="center"/>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450DA3D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三等奖20</w:t>
            </w:r>
          </w:p>
        </w:tc>
        <w:tc>
          <w:tcPr>
            <w:tcW w:w="1583" w:type="dxa"/>
            <w:tcBorders>
              <w:tl2br w:val="nil"/>
              <w:tr2bl w:val="nil"/>
            </w:tcBorders>
            <w:noWrap w:val="0"/>
            <w:vAlign w:val="top"/>
          </w:tcPr>
          <w:p w14:paraId="3B234F0D">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三等奖10</w:t>
            </w:r>
          </w:p>
        </w:tc>
        <w:tc>
          <w:tcPr>
            <w:tcW w:w="1600" w:type="dxa"/>
            <w:tcBorders>
              <w:tl2br w:val="nil"/>
              <w:tr2bl w:val="nil"/>
            </w:tcBorders>
            <w:noWrap w:val="0"/>
            <w:vAlign w:val="top"/>
          </w:tcPr>
          <w:p w14:paraId="2D6E1BA0">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三等奖8</w:t>
            </w:r>
          </w:p>
        </w:tc>
        <w:tc>
          <w:tcPr>
            <w:tcW w:w="1500" w:type="dxa"/>
            <w:tcBorders>
              <w:tl2br w:val="nil"/>
              <w:tr2bl w:val="nil"/>
            </w:tcBorders>
            <w:noWrap w:val="0"/>
            <w:vAlign w:val="top"/>
          </w:tcPr>
          <w:p w14:paraId="55A37CC1">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三等奖6</w:t>
            </w:r>
          </w:p>
        </w:tc>
        <w:tc>
          <w:tcPr>
            <w:tcW w:w="1434" w:type="dxa"/>
            <w:tcBorders>
              <w:tl2br w:val="nil"/>
              <w:tr2bl w:val="nil"/>
            </w:tcBorders>
            <w:noWrap w:val="0"/>
            <w:vAlign w:val="top"/>
          </w:tcPr>
          <w:p w14:paraId="51447B43">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三等奖4</w:t>
            </w:r>
          </w:p>
        </w:tc>
      </w:tr>
      <w:tr w14:paraId="70620FE8">
        <w:trPr>
          <w:jc w:val="center"/>
        </w:trPr>
        <w:tc>
          <w:tcPr>
            <w:tcW w:w="1518" w:type="dxa"/>
            <w:vMerge w:val="restart"/>
            <w:tcBorders>
              <w:tl2br w:val="nil"/>
              <w:tr2bl w:val="nil"/>
            </w:tcBorders>
            <w:noWrap w:val="0"/>
            <w:vAlign w:val="center"/>
          </w:tcPr>
          <w:p w14:paraId="28A20F6A">
            <w:pPr>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B类</w:t>
            </w:r>
          </w:p>
        </w:tc>
        <w:tc>
          <w:tcPr>
            <w:tcW w:w="1683" w:type="dxa"/>
            <w:tcBorders>
              <w:tl2br w:val="nil"/>
              <w:tr2bl w:val="nil"/>
            </w:tcBorders>
            <w:noWrap w:val="0"/>
            <w:vAlign w:val="top"/>
          </w:tcPr>
          <w:p w14:paraId="62CEE6F3">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特等奖35</w:t>
            </w:r>
          </w:p>
        </w:tc>
        <w:tc>
          <w:tcPr>
            <w:tcW w:w="1583" w:type="dxa"/>
            <w:tcBorders>
              <w:tl2br w:val="nil"/>
              <w:tr2bl w:val="nil"/>
            </w:tcBorders>
            <w:noWrap w:val="0"/>
            <w:vAlign w:val="top"/>
          </w:tcPr>
          <w:p w14:paraId="764E8714">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特等奖20</w:t>
            </w:r>
          </w:p>
        </w:tc>
        <w:tc>
          <w:tcPr>
            <w:tcW w:w="1600" w:type="dxa"/>
            <w:tcBorders>
              <w:tl2br w:val="nil"/>
              <w:tr2bl w:val="nil"/>
            </w:tcBorders>
            <w:noWrap w:val="0"/>
            <w:vAlign w:val="top"/>
          </w:tcPr>
          <w:p w14:paraId="23520236">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特等奖12</w:t>
            </w:r>
          </w:p>
        </w:tc>
        <w:tc>
          <w:tcPr>
            <w:tcW w:w="1500" w:type="dxa"/>
            <w:tcBorders>
              <w:tl2br w:val="nil"/>
              <w:tr2bl w:val="nil"/>
            </w:tcBorders>
            <w:noWrap w:val="0"/>
            <w:vAlign w:val="top"/>
          </w:tcPr>
          <w:p w14:paraId="27C5D24A">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p>
        </w:tc>
        <w:tc>
          <w:tcPr>
            <w:tcW w:w="1434" w:type="dxa"/>
            <w:tcBorders>
              <w:tl2br w:val="nil"/>
              <w:tr2bl w:val="nil"/>
            </w:tcBorders>
            <w:noWrap w:val="0"/>
            <w:vAlign w:val="top"/>
          </w:tcPr>
          <w:p w14:paraId="6B0ADBD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p>
        </w:tc>
      </w:tr>
      <w:tr w14:paraId="45BAF858">
        <w:trPr>
          <w:jc w:val="center"/>
        </w:trPr>
        <w:tc>
          <w:tcPr>
            <w:tcW w:w="1518" w:type="dxa"/>
            <w:vMerge w:val="continue"/>
            <w:tcBorders>
              <w:tl2br w:val="nil"/>
              <w:tr2bl w:val="nil"/>
            </w:tcBorders>
            <w:noWrap w:val="0"/>
            <w:vAlign w:val="center"/>
          </w:tcPr>
          <w:p w14:paraId="65A3D5F6">
            <w:pPr>
              <w:widowControl/>
              <w:jc w:val="left"/>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761D2740">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一等奖25</w:t>
            </w:r>
          </w:p>
        </w:tc>
        <w:tc>
          <w:tcPr>
            <w:tcW w:w="1583" w:type="dxa"/>
            <w:tcBorders>
              <w:tl2br w:val="nil"/>
              <w:tr2bl w:val="nil"/>
            </w:tcBorders>
            <w:noWrap w:val="0"/>
            <w:vAlign w:val="top"/>
          </w:tcPr>
          <w:p w14:paraId="4A1BF53F">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一等奖15</w:t>
            </w:r>
          </w:p>
        </w:tc>
        <w:tc>
          <w:tcPr>
            <w:tcW w:w="1600" w:type="dxa"/>
            <w:tcBorders>
              <w:tl2br w:val="nil"/>
              <w:tr2bl w:val="nil"/>
            </w:tcBorders>
            <w:noWrap w:val="0"/>
            <w:vAlign w:val="top"/>
          </w:tcPr>
          <w:p w14:paraId="720F4ADC">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一等奖10</w:t>
            </w:r>
          </w:p>
        </w:tc>
        <w:tc>
          <w:tcPr>
            <w:tcW w:w="1500" w:type="dxa"/>
            <w:tcBorders>
              <w:tl2br w:val="nil"/>
              <w:tr2bl w:val="nil"/>
            </w:tcBorders>
            <w:noWrap w:val="0"/>
            <w:vAlign w:val="top"/>
          </w:tcPr>
          <w:p w14:paraId="542F5E21">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一等奖8</w:t>
            </w:r>
          </w:p>
        </w:tc>
        <w:tc>
          <w:tcPr>
            <w:tcW w:w="1434" w:type="dxa"/>
            <w:tcBorders>
              <w:tl2br w:val="nil"/>
              <w:tr2bl w:val="nil"/>
            </w:tcBorders>
            <w:noWrap w:val="0"/>
            <w:vAlign w:val="top"/>
          </w:tcPr>
          <w:p w14:paraId="2F6BF1E4">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一等奖6</w:t>
            </w:r>
          </w:p>
        </w:tc>
      </w:tr>
      <w:tr w14:paraId="6F9CF878">
        <w:trPr>
          <w:jc w:val="center"/>
        </w:trPr>
        <w:tc>
          <w:tcPr>
            <w:tcW w:w="1518" w:type="dxa"/>
            <w:vMerge w:val="continue"/>
            <w:tcBorders>
              <w:tl2br w:val="nil"/>
              <w:tr2bl w:val="nil"/>
            </w:tcBorders>
            <w:noWrap w:val="0"/>
            <w:vAlign w:val="center"/>
          </w:tcPr>
          <w:p w14:paraId="1100C40C">
            <w:pPr>
              <w:widowControl/>
              <w:jc w:val="left"/>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33D9AAD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二等奖20</w:t>
            </w:r>
          </w:p>
        </w:tc>
        <w:tc>
          <w:tcPr>
            <w:tcW w:w="1583" w:type="dxa"/>
            <w:tcBorders>
              <w:tl2br w:val="nil"/>
              <w:tr2bl w:val="nil"/>
            </w:tcBorders>
            <w:noWrap w:val="0"/>
            <w:vAlign w:val="top"/>
          </w:tcPr>
          <w:p w14:paraId="1375D120">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二等奖10</w:t>
            </w:r>
          </w:p>
        </w:tc>
        <w:tc>
          <w:tcPr>
            <w:tcW w:w="1600" w:type="dxa"/>
            <w:tcBorders>
              <w:tl2br w:val="nil"/>
              <w:tr2bl w:val="nil"/>
            </w:tcBorders>
            <w:noWrap w:val="0"/>
            <w:vAlign w:val="top"/>
          </w:tcPr>
          <w:p w14:paraId="537DEF09">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二等奖8</w:t>
            </w:r>
          </w:p>
        </w:tc>
        <w:tc>
          <w:tcPr>
            <w:tcW w:w="1500" w:type="dxa"/>
            <w:tcBorders>
              <w:tl2br w:val="nil"/>
              <w:tr2bl w:val="nil"/>
            </w:tcBorders>
            <w:noWrap w:val="0"/>
            <w:vAlign w:val="top"/>
          </w:tcPr>
          <w:p w14:paraId="45DC357C">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二等奖6</w:t>
            </w:r>
          </w:p>
        </w:tc>
        <w:tc>
          <w:tcPr>
            <w:tcW w:w="1434" w:type="dxa"/>
            <w:tcBorders>
              <w:tl2br w:val="nil"/>
              <w:tr2bl w:val="nil"/>
            </w:tcBorders>
            <w:noWrap w:val="0"/>
            <w:vAlign w:val="top"/>
          </w:tcPr>
          <w:p w14:paraId="4FC3F09E">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二等奖4</w:t>
            </w:r>
          </w:p>
        </w:tc>
      </w:tr>
      <w:tr w14:paraId="3BBAA090">
        <w:trPr>
          <w:jc w:val="center"/>
        </w:trPr>
        <w:tc>
          <w:tcPr>
            <w:tcW w:w="1518" w:type="dxa"/>
            <w:vMerge w:val="continue"/>
            <w:tcBorders>
              <w:tl2br w:val="nil"/>
              <w:tr2bl w:val="nil"/>
            </w:tcBorders>
            <w:noWrap w:val="0"/>
            <w:vAlign w:val="center"/>
          </w:tcPr>
          <w:p w14:paraId="6812919E">
            <w:pPr>
              <w:widowControl/>
              <w:jc w:val="left"/>
              <w:rPr>
                <w:rFonts w:hint="eastAsia" w:ascii="仿宋" w:hAnsi="仿宋" w:eastAsia="仿宋" w:cs="仿宋"/>
                <w:color w:val="auto"/>
                <w:kern w:val="0"/>
                <w:sz w:val="32"/>
                <w:szCs w:val="32"/>
                <w:highlight w:val="none"/>
                <w:shd w:val="clear" w:color="auto" w:fill="FFFFFF"/>
              </w:rPr>
            </w:pPr>
          </w:p>
        </w:tc>
        <w:tc>
          <w:tcPr>
            <w:tcW w:w="1683" w:type="dxa"/>
            <w:tcBorders>
              <w:tl2br w:val="nil"/>
              <w:tr2bl w:val="nil"/>
            </w:tcBorders>
            <w:noWrap w:val="0"/>
            <w:vAlign w:val="top"/>
          </w:tcPr>
          <w:p w14:paraId="74BDF8AC">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三等奖15</w:t>
            </w:r>
          </w:p>
        </w:tc>
        <w:tc>
          <w:tcPr>
            <w:tcW w:w="1583" w:type="dxa"/>
            <w:tcBorders>
              <w:tl2br w:val="nil"/>
              <w:tr2bl w:val="nil"/>
            </w:tcBorders>
            <w:noWrap w:val="0"/>
            <w:vAlign w:val="top"/>
          </w:tcPr>
          <w:p w14:paraId="2DCF22A4">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三等奖8</w:t>
            </w:r>
          </w:p>
        </w:tc>
        <w:tc>
          <w:tcPr>
            <w:tcW w:w="1600" w:type="dxa"/>
            <w:tcBorders>
              <w:tl2br w:val="nil"/>
              <w:tr2bl w:val="nil"/>
            </w:tcBorders>
            <w:noWrap w:val="0"/>
            <w:vAlign w:val="top"/>
          </w:tcPr>
          <w:p w14:paraId="186F33F5">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三等奖6</w:t>
            </w:r>
          </w:p>
        </w:tc>
        <w:tc>
          <w:tcPr>
            <w:tcW w:w="1500" w:type="dxa"/>
            <w:tcBorders>
              <w:tl2br w:val="nil"/>
              <w:tr2bl w:val="nil"/>
            </w:tcBorders>
            <w:noWrap w:val="0"/>
            <w:vAlign w:val="top"/>
          </w:tcPr>
          <w:p w14:paraId="701523AA">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三等奖4</w:t>
            </w:r>
          </w:p>
        </w:tc>
        <w:tc>
          <w:tcPr>
            <w:tcW w:w="1434" w:type="dxa"/>
            <w:tcBorders>
              <w:tl2br w:val="nil"/>
              <w:tr2bl w:val="nil"/>
            </w:tcBorders>
            <w:noWrap w:val="0"/>
            <w:vAlign w:val="top"/>
          </w:tcPr>
          <w:p w14:paraId="5AEE91A4">
            <w:pPr>
              <w:widowControl/>
              <w:spacing w:line="520" w:lineRule="exact"/>
              <w:jc w:val="center"/>
              <w:rPr>
                <w:rFonts w:hint="eastAsia" w:ascii="仿宋" w:hAnsi="仿宋" w:eastAsia="仿宋" w:cs="仿宋"/>
                <w:b w:val="0"/>
                <w:bCs w:val="0"/>
                <w:color w:val="auto"/>
                <w:kern w:val="0"/>
                <w:sz w:val="32"/>
                <w:szCs w:val="32"/>
                <w:highlight w:val="none"/>
                <w:shd w:val="clear" w:color="auto" w:fill="FFFFFF"/>
              </w:rPr>
            </w:pPr>
            <w:r>
              <w:rPr>
                <w:rFonts w:hint="eastAsia" w:ascii="仿宋" w:hAnsi="仿宋" w:eastAsia="仿宋" w:cs="仿宋"/>
                <w:b w:val="0"/>
                <w:bCs w:val="0"/>
                <w:color w:val="auto"/>
                <w:kern w:val="0"/>
                <w:sz w:val="32"/>
                <w:szCs w:val="32"/>
                <w:highlight w:val="none"/>
                <w:shd w:val="clear" w:color="auto" w:fill="FFFFFF"/>
              </w:rPr>
              <w:t>三等奖2</w:t>
            </w:r>
          </w:p>
        </w:tc>
      </w:tr>
    </w:tbl>
    <w:p w14:paraId="14F754F6">
      <w:pPr>
        <w:keepNext w:val="0"/>
        <w:keepLines w:val="0"/>
        <w:pageBreakBefore w:val="0"/>
        <w:widowControl/>
        <w:kinsoku/>
        <w:wordWrap/>
        <w:overflowPunct/>
        <w:topLinePunct w:val="0"/>
        <w:autoSpaceDE/>
        <w:autoSpaceDN/>
        <w:bidi w:val="0"/>
        <w:adjustRightInd/>
        <w:snapToGrid/>
        <w:spacing w:line="560" w:lineRule="exact"/>
        <w:ind w:firstLine="482" w:firstLineChars="150"/>
        <w:textAlignment w:val="auto"/>
        <w:rPr>
          <w:rFonts w:hint="eastAsia" w:ascii="仿宋" w:hAnsi="仿宋" w:eastAsia="仿宋" w:cs="仿宋"/>
          <w:color w:val="auto"/>
          <w:kern w:val="0"/>
          <w:sz w:val="32"/>
          <w:szCs w:val="32"/>
          <w:highlight w:val="none"/>
          <w:shd w:val="clear" w:color="auto" w:fill="FFFFFF"/>
          <w:lang w:eastAsia="zh-CN"/>
        </w:rPr>
      </w:pPr>
      <w:r>
        <w:rPr>
          <w:rFonts w:hint="eastAsia" w:ascii="仿宋" w:hAnsi="仿宋" w:eastAsia="仿宋" w:cs="仿宋"/>
          <w:b/>
          <w:bCs/>
          <w:color w:val="auto"/>
          <w:kern w:val="0"/>
          <w:sz w:val="32"/>
          <w:szCs w:val="32"/>
          <w:highlight w:val="none"/>
          <w:shd w:val="clear" w:color="auto" w:fill="FFFFFF"/>
          <w:lang w:eastAsia="zh-CN"/>
        </w:rPr>
        <w:t>补充说明：依据学校文件，</w:t>
      </w:r>
      <w:r>
        <w:rPr>
          <w:rFonts w:hint="eastAsia" w:ascii="仿宋" w:hAnsi="仿宋" w:eastAsia="仿宋" w:cs="仿宋"/>
          <w:b/>
          <w:bCs/>
          <w:color w:val="auto"/>
          <w:kern w:val="0"/>
          <w:sz w:val="32"/>
          <w:szCs w:val="32"/>
          <w:highlight w:val="green"/>
          <w:shd w:val="clear" w:color="auto" w:fill="FFFFFF"/>
          <w:lang w:eastAsia="zh-CN"/>
        </w:rPr>
        <w:t>优秀奖不加分</w:t>
      </w:r>
      <w:r>
        <w:rPr>
          <w:rFonts w:hint="eastAsia" w:ascii="仿宋" w:hAnsi="仿宋" w:eastAsia="仿宋" w:cs="仿宋"/>
          <w:b/>
          <w:bCs/>
          <w:color w:val="auto"/>
          <w:kern w:val="0"/>
          <w:sz w:val="32"/>
          <w:szCs w:val="32"/>
          <w:highlight w:val="none"/>
          <w:shd w:val="clear" w:color="auto" w:fill="FFFFFF"/>
          <w:lang w:eastAsia="zh-CN"/>
        </w:rPr>
        <w:t>，特等奖可按照相应级别的一等奖加分。</w:t>
      </w:r>
    </w:p>
    <w:p w14:paraId="399167C3">
      <w:pPr>
        <w:keepNext w:val="0"/>
        <w:keepLines w:val="0"/>
        <w:pageBreakBefore w:val="0"/>
        <w:widowControl/>
        <w:kinsoku/>
        <w:wordWrap/>
        <w:overflowPunct/>
        <w:topLinePunct w:val="0"/>
        <w:autoSpaceDE/>
        <w:autoSpaceDN/>
        <w:bidi w:val="0"/>
        <w:adjustRightInd/>
        <w:snapToGrid/>
        <w:spacing w:line="560" w:lineRule="exact"/>
        <w:ind w:firstLine="480" w:firstLineChars="15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（二）发表学术论文、个人专著、文学艺术作品、获得专利者，根据以下标准进行加分。</w:t>
      </w:r>
    </w:p>
    <w:tbl>
      <w:tblPr>
        <w:tblStyle w:val="7"/>
        <w:tblW w:w="87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07"/>
        <w:gridCol w:w="1581"/>
        <w:gridCol w:w="1589"/>
        <w:gridCol w:w="1670"/>
      </w:tblGrid>
      <w:tr w14:paraId="3AF35397">
        <w:trPr>
          <w:trHeight w:val="315" w:hRule="atLeast"/>
          <w:jc w:val="center"/>
        </w:trPr>
        <w:tc>
          <w:tcPr>
            <w:tcW w:w="3907" w:type="dxa"/>
            <w:vMerge w:val="restart"/>
            <w:tcBorders>
              <w:top w:val="single" w:color="auto" w:sz="4" w:space="0"/>
              <w:left w:val="single" w:color="auto" w:sz="4" w:space="0"/>
              <w:bottom w:val="single" w:color="auto" w:sz="4" w:space="0"/>
              <w:right w:val="single" w:color="auto" w:sz="4" w:space="0"/>
            </w:tcBorders>
            <w:noWrap w:val="0"/>
            <w:vAlign w:val="center"/>
          </w:tcPr>
          <w:p w14:paraId="2D11DCAA">
            <w:pPr>
              <w:widowControl/>
              <w:spacing w:line="40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作   品</w:t>
            </w:r>
          </w:p>
        </w:tc>
        <w:tc>
          <w:tcPr>
            <w:tcW w:w="4840" w:type="dxa"/>
            <w:gridSpan w:val="3"/>
            <w:tcBorders>
              <w:top w:val="single" w:color="auto" w:sz="4" w:space="0"/>
              <w:left w:val="nil"/>
              <w:bottom w:val="single" w:color="auto" w:sz="4" w:space="0"/>
              <w:right w:val="single" w:color="auto" w:sz="4" w:space="0"/>
            </w:tcBorders>
            <w:noWrap w:val="0"/>
            <w:vAlign w:val="center"/>
          </w:tcPr>
          <w:p w14:paraId="2A1FFD1C">
            <w:pPr>
              <w:widowControl/>
              <w:spacing w:line="40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分值/篇</w:t>
            </w:r>
          </w:p>
        </w:tc>
      </w:tr>
      <w:tr w14:paraId="536A01DC">
        <w:trPr>
          <w:trHeight w:val="300" w:hRule="atLeast"/>
          <w:jc w:val="center"/>
        </w:trPr>
        <w:tc>
          <w:tcPr>
            <w:tcW w:w="3907" w:type="dxa"/>
            <w:vMerge w:val="continue"/>
            <w:tcBorders>
              <w:top w:val="single" w:color="auto" w:sz="4" w:space="0"/>
              <w:left w:val="single" w:color="auto" w:sz="4" w:space="0"/>
              <w:bottom w:val="single" w:color="auto" w:sz="4" w:space="0"/>
              <w:right w:val="single" w:color="auto" w:sz="4" w:space="0"/>
            </w:tcBorders>
            <w:noWrap w:val="0"/>
            <w:vAlign w:val="center"/>
          </w:tcPr>
          <w:p w14:paraId="3E8494BD">
            <w:pPr>
              <w:widowControl/>
              <w:spacing w:line="400" w:lineRule="exact"/>
              <w:jc w:val="center"/>
              <w:rPr>
                <w:rFonts w:hint="eastAsia" w:ascii="仿宋" w:hAnsi="仿宋" w:eastAsia="仿宋" w:cs="仿宋"/>
                <w:color w:val="auto"/>
                <w:kern w:val="0"/>
                <w:sz w:val="32"/>
                <w:szCs w:val="32"/>
                <w:highlight w:val="none"/>
                <w:shd w:val="clear" w:color="auto" w:fill="FFFFFF"/>
              </w:rPr>
            </w:pPr>
          </w:p>
        </w:tc>
        <w:tc>
          <w:tcPr>
            <w:tcW w:w="1581" w:type="dxa"/>
            <w:tcBorders>
              <w:top w:val="single" w:color="auto" w:sz="4" w:space="0"/>
              <w:left w:val="nil"/>
              <w:bottom w:val="single" w:color="auto" w:sz="4" w:space="0"/>
              <w:right w:val="single" w:color="auto" w:sz="4" w:space="0"/>
            </w:tcBorders>
            <w:noWrap w:val="0"/>
            <w:vAlign w:val="center"/>
          </w:tcPr>
          <w:p w14:paraId="1057DAD3">
            <w:pPr>
              <w:widowControl/>
              <w:spacing w:line="40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第一作者</w:t>
            </w:r>
          </w:p>
        </w:tc>
        <w:tc>
          <w:tcPr>
            <w:tcW w:w="1589" w:type="dxa"/>
            <w:tcBorders>
              <w:top w:val="single" w:color="auto" w:sz="4" w:space="0"/>
              <w:left w:val="nil"/>
              <w:bottom w:val="single" w:color="auto" w:sz="4" w:space="0"/>
              <w:right w:val="single" w:color="auto" w:sz="4" w:space="0"/>
            </w:tcBorders>
            <w:noWrap w:val="0"/>
            <w:vAlign w:val="center"/>
          </w:tcPr>
          <w:p w14:paraId="2614FB49">
            <w:pPr>
              <w:widowControl/>
              <w:spacing w:line="40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第二作者</w:t>
            </w:r>
          </w:p>
        </w:tc>
        <w:tc>
          <w:tcPr>
            <w:tcW w:w="1670" w:type="dxa"/>
            <w:tcBorders>
              <w:top w:val="single" w:color="auto" w:sz="4" w:space="0"/>
              <w:left w:val="nil"/>
              <w:bottom w:val="single" w:color="auto" w:sz="4" w:space="0"/>
              <w:right w:val="single" w:color="auto" w:sz="4" w:space="0"/>
            </w:tcBorders>
            <w:noWrap w:val="0"/>
            <w:vAlign w:val="center"/>
          </w:tcPr>
          <w:p w14:paraId="16C8AC33">
            <w:pPr>
              <w:widowControl/>
              <w:spacing w:line="40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第三作者</w:t>
            </w:r>
          </w:p>
        </w:tc>
      </w:tr>
      <w:tr w14:paraId="0041830C">
        <w:trPr>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4111234A">
            <w:pPr>
              <w:widowControl/>
              <w:spacing w:line="400" w:lineRule="exact"/>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A&amp;HCI、SCI、SSCI和EI期刊论文</w:t>
            </w:r>
          </w:p>
        </w:tc>
        <w:tc>
          <w:tcPr>
            <w:tcW w:w="1581" w:type="dxa"/>
            <w:tcBorders>
              <w:top w:val="single" w:color="auto" w:sz="4" w:space="0"/>
              <w:left w:val="nil"/>
              <w:bottom w:val="single" w:color="auto" w:sz="4" w:space="0"/>
              <w:right w:val="single" w:color="auto" w:sz="4" w:space="0"/>
            </w:tcBorders>
            <w:noWrap w:val="0"/>
            <w:vAlign w:val="center"/>
          </w:tcPr>
          <w:p w14:paraId="1D215AC9">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53FEC6D3">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059F4FEB">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2FA2DE66">
        <w:trPr>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329B67ED">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CSSCI期刊论文</w:t>
            </w:r>
          </w:p>
        </w:tc>
        <w:tc>
          <w:tcPr>
            <w:tcW w:w="1581" w:type="dxa"/>
            <w:tcBorders>
              <w:top w:val="single" w:color="auto" w:sz="4" w:space="0"/>
              <w:left w:val="nil"/>
              <w:bottom w:val="single" w:color="auto" w:sz="4" w:space="0"/>
              <w:right w:val="single" w:color="auto" w:sz="4" w:space="0"/>
            </w:tcBorders>
            <w:noWrap w:val="0"/>
            <w:vAlign w:val="center"/>
          </w:tcPr>
          <w:p w14:paraId="77F7B06F">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3CD7E2FD">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42D45B06">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409271DF">
        <w:trPr>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7BFDA16E">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CSSCI期刊论文（扩展板）</w:t>
            </w:r>
          </w:p>
        </w:tc>
        <w:tc>
          <w:tcPr>
            <w:tcW w:w="1581" w:type="dxa"/>
            <w:tcBorders>
              <w:top w:val="single" w:color="auto" w:sz="4" w:space="0"/>
              <w:left w:val="nil"/>
              <w:bottom w:val="single" w:color="auto" w:sz="4" w:space="0"/>
              <w:right w:val="single" w:color="auto" w:sz="4" w:space="0"/>
            </w:tcBorders>
            <w:noWrap w:val="0"/>
            <w:vAlign w:val="center"/>
          </w:tcPr>
          <w:p w14:paraId="654E65E2">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57B3EF8E">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51CD13C4">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08156904">
        <w:trPr>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3C7F552F">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核心期刊论文；《新华文摘》转载论文、在《人民日报》、《光明日报》、《科技日报》、《经济日报》理论版上发表的本专业理论文章（2000字以上）</w:t>
            </w:r>
          </w:p>
        </w:tc>
        <w:tc>
          <w:tcPr>
            <w:tcW w:w="1581" w:type="dxa"/>
            <w:tcBorders>
              <w:top w:val="single" w:color="auto" w:sz="4" w:space="0"/>
              <w:left w:val="nil"/>
              <w:bottom w:val="single" w:color="auto" w:sz="4" w:space="0"/>
              <w:right w:val="single" w:color="auto" w:sz="4" w:space="0"/>
            </w:tcBorders>
            <w:noWrap w:val="0"/>
            <w:vAlign w:val="center"/>
          </w:tcPr>
          <w:p w14:paraId="7FDC1D2D">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76B61409">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28494064">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78129A17">
        <w:trPr>
          <w:trHeight w:val="840" w:hRule="atLeast"/>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28762A2C">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核心期刊中发表文学艺术作品</w:t>
            </w:r>
          </w:p>
        </w:tc>
        <w:tc>
          <w:tcPr>
            <w:tcW w:w="1581" w:type="dxa"/>
            <w:tcBorders>
              <w:top w:val="single" w:color="auto" w:sz="4" w:space="0"/>
              <w:left w:val="nil"/>
              <w:bottom w:val="single" w:color="auto" w:sz="4" w:space="0"/>
              <w:right w:val="single" w:color="auto" w:sz="4" w:space="0"/>
            </w:tcBorders>
            <w:noWrap w:val="0"/>
            <w:vAlign w:val="center"/>
          </w:tcPr>
          <w:p w14:paraId="34248C3B">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20</w:t>
            </w:r>
          </w:p>
        </w:tc>
        <w:tc>
          <w:tcPr>
            <w:tcW w:w="1589" w:type="dxa"/>
            <w:tcBorders>
              <w:top w:val="single" w:color="auto" w:sz="4" w:space="0"/>
              <w:left w:val="nil"/>
              <w:bottom w:val="single" w:color="auto" w:sz="4" w:space="0"/>
              <w:right w:val="single" w:color="auto" w:sz="4" w:space="0"/>
            </w:tcBorders>
            <w:noWrap w:val="0"/>
            <w:vAlign w:val="center"/>
          </w:tcPr>
          <w:p w14:paraId="4F50B047">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c>
          <w:tcPr>
            <w:tcW w:w="1670" w:type="dxa"/>
            <w:tcBorders>
              <w:top w:val="single" w:color="auto" w:sz="4" w:space="0"/>
              <w:left w:val="nil"/>
              <w:bottom w:val="single" w:color="auto" w:sz="4" w:space="0"/>
              <w:right w:val="single" w:color="auto" w:sz="4" w:space="0"/>
            </w:tcBorders>
            <w:noWrap w:val="0"/>
            <w:vAlign w:val="center"/>
          </w:tcPr>
          <w:p w14:paraId="63298367">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6</w:t>
            </w:r>
          </w:p>
        </w:tc>
      </w:tr>
      <w:tr w14:paraId="45E2DC61">
        <w:trPr>
          <w:trHeight w:val="840" w:hRule="atLeast"/>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077292D4">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参编公开出版的本专业学术著作或高等教育统编教材(本人撰写3万字以上/部)</w:t>
            </w:r>
          </w:p>
        </w:tc>
        <w:tc>
          <w:tcPr>
            <w:tcW w:w="1581" w:type="dxa"/>
            <w:tcBorders>
              <w:top w:val="single" w:color="auto" w:sz="4" w:space="0"/>
              <w:left w:val="nil"/>
              <w:bottom w:val="single" w:color="auto" w:sz="4" w:space="0"/>
              <w:right w:val="single" w:color="auto" w:sz="4" w:space="0"/>
            </w:tcBorders>
            <w:noWrap w:val="0"/>
            <w:vAlign w:val="center"/>
          </w:tcPr>
          <w:p w14:paraId="1FB9A342">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2F80EA57">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3A49252C">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66C57418">
        <w:trPr>
          <w:trHeight w:val="840" w:hRule="atLeast"/>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034B724B">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shd w:val="clear" w:color="auto" w:fill="FFFFFF"/>
              </w:rPr>
              <w:t>国家发明专利</w:t>
            </w:r>
          </w:p>
        </w:tc>
        <w:tc>
          <w:tcPr>
            <w:tcW w:w="1581" w:type="dxa"/>
            <w:tcBorders>
              <w:top w:val="single" w:color="auto" w:sz="4" w:space="0"/>
              <w:left w:val="nil"/>
              <w:bottom w:val="single" w:color="auto" w:sz="4" w:space="0"/>
              <w:right w:val="single" w:color="auto" w:sz="4" w:space="0"/>
            </w:tcBorders>
            <w:noWrap w:val="0"/>
            <w:vAlign w:val="center"/>
          </w:tcPr>
          <w:p w14:paraId="204BBEF5">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40</w:t>
            </w:r>
          </w:p>
        </w:tc>
        <w:tc>
          <w:tcPr>
            <w:tcW w:w="1589" w:type="dxa"/>
            <w:tcBorders>
              <w:top w:val="single" w:color="auto" w:sz="4" w:space="0"/>
              <w:left w:val="nil"/>
              <w:bottom w:val="single" w:color="auto" w:sz="4" w:space="0"/>
              <w:right w:val="single" w:color="auto" w:sz="4" w:space="0"/>
            </w:tcBorders>
            <w:noWrap w:val="0"/>
            <w:vAlign w:val="center"/>
          </w:tcPr>
          <w:p w14:paraId="2F1C20D0">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24</w:t>
            </w:r>
          </w:p>
        </w:tc>
        <w:tc>
          <w:tcPr>
            <w:tcW w:w="1670" w:type="dxa"/>
            <w:tcBorders>
              <w:top w:val="single" w:color="auto" w:sz="4" w:space="0"/>
              <w:left w:val="nil"/>
              <w:bottom w:val="single" w:color="auto" w:sz="4" w:space="0"/>
              <w:right w:val="single" w:color="auto" w:sz="4" w:space="0"/>
            </w:tcBorders>
            <w:noWrap w:val="0"/>
            <w:vAlign w:val="center"/>
          </w:tcPr>
          <w:p w14:paraId="436C2D0C">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12</w:t>
            </w:r>
          </w:p>
        </w:tc>
      </w:tr>
      <w:tr w14:paraId="4115D4E4">
        <w:trPr>
          <w:trHeight w:val="840" w:hRule="atLeast"/>
          <w:jc w:val="center"/>
        </w:trPr>
        <w:tc>
          <w:tcPr>
            <w:tcW w:w="3907" w:type="dxa"/>
            <w:tcBorders>
              <w:top w:val="single" w:color="auto" w:sz="4" w:space="0"/>
              <w:left w:val="single" w:color="auto" w:sz="4" w:space="0"/>
              <w:bottom w:val="single" w:color="auto" w:sz="4" w:space="0"/>
              <w:right w:val="single" w:color="auto" w:sz="4" w:space="0"/>
            </w:tcBorders>
            <w:noWrap w:val="0"/>
            <w:vAlign w:val="center"/>
          </w:tcPr>
          <w:p w14:paraId="2387B913">
            <w:pPr>
              <w:widowControl/>
              <w:spacing w:line="400" w:lineRule="exact"/>
              <w:ind w:firstLine="480"/>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实用新型专利、外观设计专利、软件著作权</w:t>
            </w:r>
          </w:p>
        </w:tc>
        <w:tc>
          <w:tcPr>
            <w:tcW w:w="1581" w:type="dxa"/>
            <w:tcBorders>
              <w:top w:val="single" w:color="auto" w:sz="4" w:space="0"/>
              <w:left w:val="nil"/>
              <w:bottom w:val="single" w:color="auto" w:sz="4" w:space="0"/>
              <w:right w:val="single" w:color="auto" w:sz="4" w:space="0"/>
            </w:tcBorders>
            <w:noWrap w:val="0"/>
            <w:vAlign w:val="center"/>
          </w:tcPr>
          <w:p w14:paraId="3F72E4A6">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6</w:t>
            </w:r>
          </w:p>
        </w:tc>
        <w:tc>
          <w:tcPr>
            <w:tcW w:w="1589" w:type="dxa"/>
            <w:tcBorders>
              <w:top w:val="single" w:color="auto" w:sz="4" w:space="0"/>
              <w:left w:val="nil"/>
              <w:bottom w:val="single" w:color="auto" w:sz="4" w:space="0"/>
              <w:right w:val="single" w:color="auto" w:sz="4" w:space="0"/>
            </w:tcBorders>
            <w:noWrap w:val="0"/>
            <w:vAlign w:val="center"/>
          </w:tcPr>
          <w:p w14:paraId="0AD3EC7D">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4</w:t>
            </w:r>
          </w:p>
        </w:tc>
        <w:tc>
          <w:tcPr>
            <w:tcW w:w="1670" w:type="dxa"/>
            <w:tcBorders>
              <w:top w:val="single" w:color="auto" w:sz="4" w:space="0"/>
              <w:left w:val="nil"/>
              <w:bottom w:val="single" w:color="auto" w:sz="4" w:space="0"/>
              <w:right w:val="single" w:color="auto" w:sz="4" w:space="0"/>
            </w:tcBorders>
            <w:noWrap w:val="0"/>
            <w:vAlign w:val="center"/>
          </w:tcPr>
          <w:p w14:paraId="63E6D322">
            <w:pPr>
              <w:widowControl/>
              <w:spacing w:line="400" w:lineRule="exact"/>
              <w:ind w:firstLine="480"/>
              <w:jc w:val="center"/>
              <w:rPr>
                <w:rFonts w:hint="eastAsia" w:ascii="仿宋" w:hAnsi="仿宋" w:eastAsia="仿宋" w:cs="仿宋"/>
                <w:color w:val="auto"/>
                <w:kern w:val="0"/>
                <w:sz w:val="32"/>
                <w:szCs w:val="32"/>
                <w:highlight w:val="none"/>
              </w:rPr>
            </w:pPr>
            <w:r>
              <w:rPr>
                <w:rFonts w:hint="eastAsia" w:ascii="仿宋" w:hAnsi="仿宋" w:eastAsia="仿宋" w:cs="仿宋"/>
                <w:color w:val="auto"/>
                <w:kern w:val="0"/>
                <w:sz w:val="32"/>
                <w:szCs w:val="32"/>
                <w:highlight w:val="none"/>
              </w:rPr>
              <w:t>2</w:t>
            </w:r>
          </w:p>
        </w:tc>
      </w:tr>
    </w:tbl>
    <w:p w14:paraId="157CCF16">
      <w:pPr>
        <w:keepNext w:val="0"/>
        <w:keepLines w:val="0"/>
        <w:pageBreakBefore w:val="0"/>
        <w:widowControl/>
        <w:numPr>
          <w:ilvl w:val="0"/>
          <w:numId w:val="3"/>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学生参与教师课题研究，根据课题级别进行加分，国家级课题加20分，省级课题加10分，市厅及校级课题加8分；学生参与教师横向课题研究的，根据《北华航天工业学院横向课题分值分配一览表》中所分配分值进行加分，最高不超过40分。此项加分需由科技处提供相关证明材料。</w:t>
      </w:r>
    </w:p>
    <w:p w14:paraId="0CB0D4D8">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 xml:space="preserve">第十三条 </w:t>
      </w:r>
      <w:r>
        <w:rPr>
          <w:rFonts w:hint="eastAsia" w:ascii="仿宋" w:hAnsi="仿宋" w:eastAsia="仿宋" w:cs="仿宋"/>
          <w:color w:val="auto"/>
          <w:kern w:val="0"/>
          <w:sz w:val="32"/>
          <w:szCs w:val="32"/>
          <w:highlight w:val="none"/>
          <w:shd w:val="clear" w:color="auto" w:fill="FFFFFF"/>
        </w:rPr>
        <w:t>素质拓展分中，学生参加体育竞技类项目奖励加分（C2），最高分20分，由体育部统一认定，标准为：</w:t>
      </w:r>
    </w:p>
    <w:p w14:paraId="3C5B3ED9">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（一）在国家级大学生运动会上获奖者（含团体），视名次每人加15—20分，省级加10—14分，市级加5—9分，校级加4-8分（破大学生运动会记录者可按高一档标准加分）。</w:t>
      </w:r>
    </w:p>
    <w:p w14:paraId="1C71CEAB">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（二）参加校运动队训练满一学期的成员，视表现每人加3—5分。</w:t>
      </w:r>
    </w:p>
    <w:p w14:paraId="159E61DF">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补充说明：</w:t>
      </w:r>
    </w:p>
    <w:p w14:paraId="19F8C20C">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除了以上两项体育竞技类项目奖励加分之外：</w:t>
      </w:r>
    </w:p>
    <w:p w14:paraId="4D8EC733">
      <w:pPr>
        <w:keepNext w:val="0"/>
        <w:keepLines w:val="0"/>
        <w:pageBreakBefore w:val="0"/>
        <w:widowControl/>
        <w:numPr>
          <w:ilvl w:val="0"/>
          <w:numId w:val="4"/>
        </w:numPr>
        <w:kinsoku/>
        <w:wordWrap/>
        <w:overflowPunct/>
        <w:topLinePunct w:val="0"/>
        <w:autoSpaceDE/>
        <w:autoSpaceDN/>
        <w:bidi w:val="0"/>
        <w:adjustRightInd/>
        <w:snapToGrid/>
        <w:spacing w:line="560" w:lineRule="exact"/>
        <w:ind w:left="778" w:leftChars="0" w:firstLine="482"/>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体测良好加2分（每学年只加一次）；</w:t>
      </w:r>
    </w:p>
    <w:p w14:paraId="3208D8A9">
      <w:pPr>
        <w:keepNext w:val="0"/>
        <w:keepLines w:val="0"/>
        <w:pageBreakBefore w:val="0"/>
        <w:widowControl/>
        <w:numPr>
          <w:ilvl w:val="0"/>
          <w:numId w:val="4"/>
        </w:numPr>
        <w:kinsoku/>
        <w:wordWrap/>
        <w:overflowPunct/>
        <w:topLinePunct w:val="0"/>
        <w:autoSpaceDE/>
        <w:autoSpaceDN/>
        <w:bidi w:val="0"/>
        <w:adjustRightInd/>
        <w:snapToGrid/>
        <w:spacing w:line="560" w:lineRule="exact"/>
        <w:ind w:left="778" w:leftChars="0" w:firstLine="482" w:firstLineChars="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参加校运动会开幕式</w:t>
      </w:r>
      <w:r>
        <w:rPr>
          <w:rFonts w:hint="eastAsia" w:ascii="仿宋" w:hAnsi="仿宋" w:eastAsia="仿宋" w:cs="仿宋"/>
          <w:b/>
          <w:bCs/>
          <w:color w:val="auto"/>
          <w:kern w:val="0"/>
          <w:sz w:val="32"/>
          <w:szCs w:val="32"/>
          <w:highlight w:val="green"/>
          <w:shd w:val="clear" w:color="auto" w:fill="FFFFFF"/>
        </w:rPr>
        <w:t>入场方队、刀旗队、健美操</w:t>
      </w:r>
      <w:r>
        <w:rPr>
          <w:rFonts w:hint="eastAsia" w:ascii="仿宋" w:hAnsi="仿宋" w:eastAsia="仿宋" w:cs="仿宋"/>
          <w:b/>
          <w:bCs/>
          <w:color w:val="auto"/>
          <w:kern w:val="0"/>
          <w:sz w:val="32"/>
          <w:szCs w:val="32"/>
          <w:highlight w:val="none"/>
          <w:shd w:val="clear" w:color="auto" w:fill="FFFFFF"/>
          <w:lang w:val="en-US" w:eastAsia="zh-CN"/>
        </w:rPr>
        <w:tab/>
      </w:r>
      <w:r>
        <w:rPr>
          <w:rFonts w:hint="eastAsia" w:ascii="仿宋" w:hAnsi="仿宋" w:eastAsia="仿宋" w:cs="仿宋"/>
          <w:b/>
          <w:bCs/>
          <w:color w:val="auto"/>
          <w:kern w:val="0"/>
          <w:sz w:val="32"/>
          <w:szCs w:val="32"/>
          <w:highlight w:val="none"/>
          <w:shd w:val="clear" w:color="auto" w:fill="FFFFFF"/>
          <w:lang w:val="en-US" w:eastAsia="zh-CN"/>
        </w:rPr>
        <w:tab/>
      </w:r>
      <w:r>
        <w:rPr>
          <w:rFonts w:hint="eastAsia" w:ascii="仿宋" w:hAnsi="仿宋" w:eastAsia="仿宋" w:cs="仿宋"/>
          <w:b/>
          <w:bCs/>
          <w:color w:val="auto"/>
          <w:kern w:val="0"/>
          <w:sz w:val="32"/>
          <w:szCs w:val="32"/>
          <w:highlight w:val="none"/>
          <w:shd w:val="clear" w:color="auto" w:fill="FFFFFF"/>
        </w:rPr>
        <w:t>表演的同学，每人加1分。</w:t>
      </w:r>
    </w:p>
    <w:p w14:paraId="1A4B27E5">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第十四条</w:t>
      </w:r>
      <w:r>
        <w:rPr>
          <w:rFonts w:hint="eastAsia" w:ascii="仿宋" w:hAnsi="仿宋" w:eastAsia="仿宋" w:cs="仿宋"/>
          <w:color w:val="auto"/>
          <w:kern w:val="0"/>
          <w:sz w:val="32"/>
          <w:szCs w:val="32"/>
          <w:highlight w:val="none"/>
          <w:shd w:val="clear" w:color="auto" w:fill="FFFFFF"/>
        </w:rPr>
        <w:t xml:space="preserve"> 素质拓展分中，学生参加文化类项目奖励加分（C3），最高分为20分，由校团委统一认定，标准为：</w:t>
      </w:r>
    </w:p>
    <w:p w14:paraId="4DCE9500">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（一）参加各项文化、艺术类项目竞赛的获奖者（含团体），视名次，国家级每人加15—20分，省级加10—14分，市级加5—9分，校级加1—4分</w:t>
      </w:r>
      <w:r>
        <w:rPr>
          <w:rFonts w:hint="eastAsia" w:ascii="仿宋" w:hAnsi="仿宋" w:eastAsia="仿宋" w:cs="仿宋"/>
          <w:b/>
          <w:bCs/>
          <w:color w:val="auto"/>
          <w:kern w:val="0"/>
          <w:sz w:val="32"/>
          <w:szCs w:val="32"/>
          <w:highlight w:val="none"/>
          <w:shd w:val="clear" w:color="auto" w:fill="FFFFFF"/>
        </w:rPr>
        <w:t>，院级加1-3分</w:t>
      </w:r>
      <w:r>
        <w:rPr>
          <w:rFonts w:hint="eastAsia" w:ascii="仿宋" w:hAnsi="仿宋" w:eastAsia="仿宋" w:cs="仿宋"/>
          <w:color w:val="auto"/>
          <w:kern w:val="0"/>
          <w:sz w:val="32"/>
          <w:szCs w:val="32"/>
          <w:highlight w:val="none"/>
          <w:shd w:val="clear" w:color="auto" w:fill="FFFFFF"/>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94"/>
        <w:gridCol w:w="1294"/>
        <w:gridCol w:w="1294"/>
        <w:gridCol w:w="1295"/>
        <w:gridCol w:w="1295"/>
      </w:tblGrid>
      <w:tr w14:paraId="3CD762F0">
        <w:trPr>
          <w:jc w:val="center"/>
        </w:trPr>
        <w:tc>
          <w:tcPr>
            <w:tcW w:w="1294" w:type="dxa"/>
            <w:noWrap w:val="0"/>
            <w:vAlign w:val="top"/>
          </w:tcPr>
          <w:p w14:paraId="09877749">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获奖级别</w:t>
            </w:r>
          </w:p>
        </w:tc>
        <w:tc>
          <w:tcPr>
            <w:tcW w:w="1294" w:type="dxa"/>
            <w:noWrap w:val="0"/>
            <w:vAlign w:val="top"/>
          </w:tcPr>
          <w:p w14:paraId="072A0C31">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国家级</w:t>
            </w:r>
          </w:p>
        </w:tc>
        <w:tc>
          <w:tcPr>
            <w:tcW w:w="1294" w:type="dxa"/>
            <w:noWrap w:val="0"/>
            <w:vAlign w:val="top"/>
          </w:tcPr>
          <w:p w14:paraId="0A46FC64">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省级</w:t>
            </w:r>
          </w:p>
        </w:tc>
        <w:tc>
          <w:tcPr>
            <w:tcW w:w="1294" w:type="dxa"/>
            <w:noWrap w:val="0"/>
            <w:vAlign w:val="top"/>
          </w:tcPr>
          <w:p w14:paraId="0628C954">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市级</w:t>
            </w:r>
          </w:p>
        </w:tc>
        <w:tc>
          <w:tcPr>
            <w:tcW w:w="1295" w:type="dxa"/>
            <w:noWrap w:val="0"/>
            <w:vAlign w:val="top"/>
          </w:tcPr>
          <w:p w14:paraId="2665C4EC">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校级</w:t>
            </w:r>
          </w:p>
        </w:tc>
        <w:tc>
          <w:tcPr>
            <w:tcW w:w="1295" w:type="dxa"/>
            <w:noWrap w:val="0"/>
            <w:vAlign w:val="top"/>
          </w:tcPr>
          <w:p w14:paraId="3E1C7394">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院级</w:t>
            </w:r>
          </w:p>
        </w:tc>
      </w:tr>
      <w:tr w14:paraId="5E9D8293">
        <w:trPr>
          <w:jc w:val="center"/>
        </w:trPr>
        <w:tc>
          <w:tcPr>
            <w:tcW w:w="1294" w:type="dxa"/>
            <w:vMerge w:val="restart"/>
            <w:noWrap w:val="0"/>
            <w:vAlign w:val="center"/>
          </w:tcPr>
          <w:p w14:paraId="3CBDA07F">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等级</w:t>
            </w:r>
          </w:p>
        </w:tc>
        <w:tc>
          <w:tcPr>
            <w:tcW w:w="1294" w:type="dxa"/>
            <w:noWrap w:val="0"/>
            <w:vAlign w:val="top"/>
          </w:tcPr>
          <w:p w14:paraId="4A47748B">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一等奖20</w:t>
            </w:r>
          </w:p>
        </w:tc>
        <w:tc>
          <w:tcPr>
            <w:tcW w:w="1294" w:type="dxa"/>
            <w:noWrap w:val="0"/>
            <w:vAlign w:val="top"/>
          </w:tcPr>
          <w:p w14:paraId="0ADA21DD">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一等奖14</w:t>
            </w:r>
          </w:p>
        </w:tc>
        <w:tc>
          <w:tcPr>
            <w:tcW w:w="1294" w:type="dxa"/>
            <w:noWrap w:val="0"/>
            <w:vAlign w:val="top"/>
          </w:tcPr>
          <w:p w14:paraId="0DB439F0">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一等奖9</w:t>
            </w:r>
          </w:p>
        </w:tc>
        <w:tc>
          <w:tcPr>
            <w:tcW w:w="1295" w:type="dxa"/>
            <w:noWrap w:val="0"/>
            <w:vAlign w:val="top"/>
          </w:tcPr>
          <w:p w14:paraId="285D0EA4">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一等奖4</w:t>
            </w:r>
          </w:p>
        </w:tc>
        <w:tc>
          <w:tcPr>
            <w:tcW w:w="1295" w:type="dxa"/>
            <w:noWrap w:val="0"/>
            <w:vAlign w:val="top"/>
          </w:tcPr>
          <w:p w14:paraId="75A9A080">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一等奖3</w:t>
            </w:r>
          </w:p>
        </w:tc>
      </w:tr>
      <w:tr w14:paraId="38D559FA">
        <w:trPr>
          <w:jc w:val="center"/>
        </w:trPr>
        <w:tc>
          <w:tcPr>
            <w:tcW w:w="1294" w:type="dxa"/>
            <w:vMerge w:val="continue"/>
            <w:noWrap w:val="0"/>
            <w:vAlign w:val="top"/>
          </w:tcPr>
          <w:p w14:paraId="15074CD2">
            <w:pPr>
              <w:widowControl/>
              <w:spacing w:line="520" w:lineRule="exact"/>
              <w:jc w:val="center"/>
              <w:rPr>
                <w:rFonts w:hint="eastAsia" w:ascii="仿宋" w:hAnsi="仿宋" w:eastAsia="仿宋" w:cs="仿宋"/>
                <w:color w:val="auto"/>
                <w:kern w:val="0"/>
                <w:sz w:val="32"/>
                <w:szCs w:val="32"/>
                <w:highlight w:val="none"/>
                <w:shd w:val="clear" w:color="auto" w:fill="FFFFFF"/>
              </w:rPr>
            </w:pPr>
          </w:p>
        </w:tc>
        <w:tc>
          <w:tcPr>
            <w:tcW w:w="1294" w:type="dxa"/>
            <w:noWrap w:val="0"/>
            <w:vAlign w:val="top"/>
          </w:tcPr>
          <w:p w14:paraId="2F83D8E4">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二等奖17</w:t>
            </w:r>
          </w:p>
        </w:tc>
        <w:tc>
          <w:tcPr>
            <w:tcW w:w="1294" w:type="dxa"/>
            <w:noWrap w:val="0"/>
            <w:vAlign w:val="top"/>
          </w:tcPr>
          <w:p w14:paraId="60ABE038">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二等奖12</w:t>
            </w:r>
          </w:p>
        </w:tc>
        <w:tc>
          <w:tcPr>
            <w:tcW w:w="1294" w:type="dxa"/>
            <w:noWrap w:val="0"/>
            <w:vAlign w:val="top"/>
          </w:tcPr>
          <w:p w14:paraId="3655286C">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二等奖7</w:t>
            </w:r>
          </w:p>
        </w:tc>
        <w:tc>
          <w:tcPr>
            <w:tcW w:w="1295" w:type="dxa"/>
            <w:noWrap w:val="0"/>
            <w:vAlign w:val="top"/>
          </w:tcPr>
          <w:p w14:paraId="03949721">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二等奖3</w:t>
            </w:r>
          </w:p>
        </w:tc>
        <w:tc>
          <w:tcPr>
            <w:tcW w:w="1295" w:type="dxa"/>
            <w:noWrap w:val="0"/>
            <w:vAlign w:val="top"/>
          </w:tcPr>
          <w:p w14:paraId="1253B7EF">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二等奖2</w:t>
            </w:r>
          </w:p>
        </w:tc>
      </w:tr>
      <w:tr w14:paraId="4B71A86A">
        <w:trPr>
          <w:jc w:val="center"/>
        </w:trPr>
        <w:tc>
          <w:tcPr>
            <w:tcW w:w="1294" w:type="dxa"/>
            <w:vMerge w:val="continue"/>
            <w:noWrap w:val="0"/>
            <w:vAlign w:val="top"/>
          </w:tcPr>
          <w:p w14:paraId="4D1EA427">
            <w:pPr>
              <w:widowControl/>
              <w:spacing w:line="520" w:lineRule="exact"/>
              <w:jc w:val="center"/>
              <w:rPr>
                <w:rFonts w:hint="eastAsia" w:ascii="仿宋" w:hAnsi="仿宋" w:eastAsia="仿宋" w:cs="仿宋"/>
                <w:color w:val="auto"/>
                <w:kern w:val="0"/>
                <w:sz w:val="32"/>
                <w:szCs w:val="32"/>
                <w:highlight w:val="none"/>
                <w:shd w:val="clear" w:color="auto" w:fill="FFFFFF"/>
              </w:rPr>
            </w:pPr>
          </w:p>
        </w:tc>
        <w:tc>
          <w:tcPr>
            <w:tcW w:w="1294" w:type="dxa"/>
            <w:noWrap w:val="0"/>
            <w:vAlign w:val="top"/>
          </w:tcPr>
          <w:p w14:paraId="5D307ADC">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三等奖15</w:t>
            </w:r>
          </w:p>
        </w:tc>
        <w:tc>
          <w:tcPr>
            <w:tcW w:w="1294" w:type="dxa"/>
            <w:noWrap w:val="0"/>
            <w:vAlign w:val="top"/>
          </w:tcPr>
          <w:p w14:paraId="6DBADD1E">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三等奖10</w:t>
            </w:r>
          </w:p>
        </w:tc>
        <w:tc>
          <w:tcPr>
            <w:tcW w:w="1294" w:type="dxa"/>
            <w:noWrap w:val="0"/>
            <w:vAlign w:val="top"/>
          </w:tcPr>
          <w:p w14:paraId="1820E652">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三等奖5</w:t>
            </w:r>
          </w:p>
        </w:tc>
        <w:tc>
          <w:tcPr>
            <w:tcW w:w="1295" w:type="dxa"/>
            <w:noWrap w:val="0"/>
            <w:vAlign w:val="top"/>
          </w:tcPr>
          <w:p w14:paraId="1EE7415D">
            <w:pPr>
              <w:widowControl/>
              <w:spacing w:line="520" w:lineRule="exact"/>
              <w:jc w:val="center"/>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三等奖2</w:t>
            </w:r>
          </w:p>
        </w:tc>
        <w:tc>
          <w:tcPr>
            <w:tcW w:w="1295" w:type="dxa"/>
            <w:noWrap w:val="0"/>
            <w:vAlign w:val="top"/>
          </w:tcPr>
          <w:p w14:paraId="1794B7F5">
            <w:pPr>
              <w:widowControl/>
              <w:spacing w:line="520" w:lineRule="exact"/>
              <w:jc w:val="center"/>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三等奖1</w:t>
            </w:r>
          </w:p>
        </w:tc>
      </w:tr>
    </w:tbl>
    <w:p w14:paraId="141C0180">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lang w:eastAsia="zh-CN"/>
        </w:rPr>
        <w:t>补充说明：依据学校文件，</w:t>
      </w:r>
      <w:r>
        <w:rPr>
          <w:rFonts w:hint="eastAsia" w:ascii="仿宋" w:hAnsi="仿宋" w:eastAsia="仿宋" w:cs="仿宋"/>
          <w:b/>
          <w:bCs/>
          <w:color w:val="auto"/>
          <w:kern w:val="0"/>
          <w:sz w:val="32"/>
          <w:szCs w:val="32"/>
          <w:highlight w:val="green"/>
          <w:shd w:val="clear" w:color="auto" w:fill="FFFFFF"/>
          <w:lang w:eastAsia="zh-CN"/>
        </w:rPr>
        <w:t>优秀奖不加分</w:t>
      </w:r>
      <w:r>
        <w:rPr>
          <w:rFonts w:hint="eastAsia" w:ascii="仿宋" w:hAnsi="仿宋" w:eastAsia="仿宋" w:cs="仿宋"/>
          <w:b/>
          <w:bCs/>
          <w:color w:val="auto"/>
          <w:kern w:val="0"/>
          <w:sz w:val="32"/>
          <w:szCs w:val="32"/>
          <w:highlight w:val="none"/>
          <w:shd w:val="clear" w:color="auto" w:fill="FFFFFF"/>
          <w:lang w:eastAsia="zh-CN"/>
        </w:rPr>
        <w:t>，特等奖可按照相应级别的一等奖加分。</w:t>
      </w:r>
    </w:p>
    <w:p w14:paraId="30FA95C7">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（二）每参加一次校级综合型活动，每人每次按项目加0.5分，最高加到10分。</w:t>
      </w:r>
    </w:p>
    <w:p w14:paraId="60F5D577">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补充说明：</w:t>
      </w:r>
    </w:p>
    <w:p w14:paraId="2F89CD6E">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除了以上文化类项目奖励加分之外：</w:t>
      </w:r>
    </w:p>
    <w:p w14:paraId="2AF93A35">
      <w:pPr>
        <w:keepNext w:val="0"/>
        <w:keepLines w:val="0"/>
        <w:pageBreakBefore w:val="0"/>
        <w:widowControl/>
        <w:numPr>
          <w:ilvl w:val="0"/>
          <w:numId w:val="5"/>
        </w:numPr>
        <w:kinsoku/>
        <w:wordWrap/>
        <w:overflowPunct/>
        <w:topLinePunct w:val="0"/>
        <w:autoSpaceDE/>
        <w:autoSpaceDN/>
        <w:bidi w:val="0"/>
        <w:adjustRightInd/>
        <w:snapToGrid/>
        <w:spacing w:line="560" w:lineRule="exact"/>
        <w:ind w:left="778" w:leftChars="0" w:firstLine="482" w:firstLineChars="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通过大学生英语四级考试加1</w:t>
      </w:r>
      <w:r>
        <w:rPr>
          <w:rFonts w:hint="eastAsia" w:ascii="仿宋" w:hAnsi="仿宋" w:eastAsia="仿宋" w:cs="仿宋"/>
          <w:b/>
          <w:bCs/>
          <w:color w:val="auto"/>
          <w:kern w:val="0"/>
          <w:sz w:val="32"/>
          <w:szCs w:val="32"/>
          <w:highlight w:val="none"/>
          <w:shd w:val="clear" w:color="auto" w:fill="FFFFFF"/>
          <w:lang w:val="en-US" w:eastAsia="zh-CN"/>
        </w:rPr>
        <w:t>0</w:t>
      </w:r>
      <w:r>
        <w:rPr>
          <w:rFonts w:hint="eastAsia" w:ascii="仿宋" w:hAnsi="仿宋" w:eastAsia="仿宋" w:cs="仿宋"/>
          <w:b/>
          <w:bCs/>
          <w:color w:val="auto"/>
          <w:kern w:val="0"/>
          <w:sz w:val="32"/>
          <w:szCs w:val="32"/>
          <w:highlight w:val="none"/>
          <w:shd w:val="clear" w:color="auto" w:fill="FFFFFF"/>
        </w:rPr>
        <w:t>分，通过大学生英语6级考试加1</w:t>
      </w:r>
      <w:r>
        <w:rPr>
          <w:rFonts w:hint="eastAsia" w:ascii="仿宋" w:hAnsi="仿宋" w:eastAsia="仿宋" w:cs="仿宋"/>
          <w:b/>
          <w:bCs/>
          <w:color w:val="auto"/>
          <w:kern w:val="0"/>
          <w:sz w:val="32"/>
          <w:szCs w:val="32"/>
          <w:highlight w:val="none"/>
          <w:shd w:val="clear" w:color="auto" w:fill="FFFFFF"/>
          <w:lang w:val="en-US" w:eastAsia="zh-CN"/>
        </w:rPr>
        <w:t>0</w:t>
      </w:r>
      <w:r>
        <w:rPr>
          <w:rFonts w:hint="eastAsia" w:ascii="仿宋" w:hAnsi="仿宋" w:eastAsia="仿宋" w:cs="仿宋"/>
          <w:b/>
          <w:bCs/>
          <w:color w:val="auto"/>
          <w:kern w:val="0"/>
          <w:sz w:val="32"/>
          <w:szCs w:val="32"/>
          <w:highlight w:val="none"/>
          <w:shd w:val="clear" w:color="auto" w:fill="FFFFFF"/>
        </w:rPr>
        <w:t>分，可以累加，不限考试通过学期</w:t>
      </w:r>
      <w:r>
        <w:rPr>
          <w:rFonts w:hint="eastAsia" w:ascii="仿宋" w:hAnsi="仿宋" w:eastAsia="仿宋" w:cs="仿宋"/>
          <w:b/>
          <w:bCs/>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lang w:val="en-US" w:eastAsia="zh-CN"/>
        </w:rPr>
        <w:t>不限使用次数</w:t>
      </w:r>
      <w:r>
        <w:rPr>
          <w:rFonts w:hint="eastAsia" w:ascii="仿宋" w:hAnsi="仿宋" w:eastAsia="仿宋" w:cs="仿宋"/>
          <w:b/>
          <w:bCs/>
          <w:color w:val="auto"/>
          <w:kern w:val="0"/>
          <w:sz w:val="32"/>
          <w:szCs w:val="32"/>
          <w:highlight w:val="none"/>
          <w:shd w:val="clear" w:color="auto" w:fill="FFFFFF"/>
        </w:rPr>
        <w:t>；</w:t>
      </w:r>
    </w:p>
    <w:p w14:paraId="7741A8BD">
      <w:pPr>
        <w:keepNext w:val="0"/>
        <w:keepLines w:val="0"/>
        <w:pageBreakBefore w:val="0"/>
        <w:widowControl/>
        <w:numPr>
          <w:ilvl w:val="0"/>
          <w:numId w:val="5"/>
        </w:numPr>
        <w:kinsoku/>
        <w:wordWrap/>
        <w:overflowPunct/>
        <w:topLinePunct w:val="0"/>
        <w:autoSpaceDE/>
        <w:autoSpaceDN/>
        <w:bidi w:val="0"/>
        <w:adjustRightInd/>
        <w:snapToGrid/>
        <w:spacing w:line="560" w:lineRule="exact"/>
        <w:ind w:left="778" w:leftChars="0" w:firstLine="482" w:firstLineChars="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lang w:val="en-US" w:eastAsia="zh-CN"/>
        </w:rPr>
        <w:t>测评年度内</w:t>
      </w:r>
      <w:r>
        <w:rPr>
          <w:rFonts w:hint="eastAsia" w:ascii="仿宋" w:hAnsi="仿宋" w:eastAsia="仿宋" w:cs="仿宋"/>
          <w:b/>
          <w:bCs/>
          <w:color w:val="auto"/>
          <w:kern w:val="0"/>
          <w:sz w:val="32"/>
          <w:szCs w:val="32"/>
          <w:highlight w:val="none"/>
          <w:shd w:val="clear" w:color="auto" w:fill="FFFFFF"/>
        </w:rPr>
        <w:t>通过计算机二级考试</w:t>
      </w:r>
      <w:r>
        <w:rPr>
          <w:rFonts w:hint="eastAsia" w:ascii="仿宋" w:hAnsi="仿宋" w:eastAsia="仿宋" w:cs="仿宋"/>
          <w:b/>
          <w:bCs/>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lang w:val="en-US" w:eastAsia="zh-CN"/>
        </w:rPr>
        <w:t>或者获得网络工程师等专业资格证书，</w:t>
      </w:r>
      <w:r>
        <w:rPr>
          <w:rFonts w:hint="eastAsia" w:ascii="仿宋" w:hAnsi="仿宋" w:eastAsia="仿宋" w:cs="仿宋"/>
          <w:b/>
          <w:bCs/>
          <w:color w:val="auto"/>
          <w:kern w:val="0"/>
          <w:sz w:val="32"/>
          <w:szCs w:val="32"/>
          <w:highlight w:val="none"/>
          <w:shd w:val="clear" w:color="auto" w:fill="FFFFFF"/>
        </w:rPr>
        <w:t>加5分</w:t>
      </w:r>
      <w:r>
        <w:rPr>
          <w:rFonts w:hint="eastAsia" w:ascii="仿宋" w:hAnsi="仿宋" w:eastAsia="仿宋" w:cs="仿宋"/>
          <w:b/>
          <w:bCs/>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lang w:val="en-US" w:eastAsia="zh-CN"/>
        </w:rPr>
        <w:t>不可累计，取最高值</w:t>
      </w:r>
      <w:r>
        <w:rPr>
          <w:rFonts w:hint="eastAsia" w:ascii="仿宋" w:hAnsi="仿宋" w:eastAsia="仿宋" w:cs="仿宋"/>
          <w:b/>
          <w:bCs/>
          <w:color w:val="auto"/>
          <w:kern w:val="0"/>
          <w:sz w:val="32"/>
          <w:szCs w:val="32"/>
          <w:highlight w:val="none"/>
          <w:shd w:val="clear" w:color="auto" w:fill="FFFFFF"/>
        </w:rPr>
        <w:t>；</w:t>
      </w:r>
    </w:p>
    <w:p w14:paraId="5D16D846">
      <w:pPr>
        <w:keepNext w:val="0"/>
        <w:keepLines w:val="0"/>
        <w:pageBreakBefore w:val="0"/>
        <w:widowControl/>
        <w:numPr>
          <w:ilvl w:val="0"/>
          <w:numId w:val="5"/>
        </w:numPr>
        <w:kinsoku/>
        <w:wordWrap/>
        <w:overflowPunct/>
        <w:topLinePunct w:val="0"/>
        <w:autoSpaceDE/>
        <w:autoSpaceDN/>
        <w:bidi w:val="0"/>
        <w:adjustRightInd/>
        <w:snapToGrid/>
        <w:spacing w:line="560" w:lineRule="exact"/>
        <w:ind w:left="778" w:leftChars="0" w:firstLine="482" w:firstLineChars="0"/>
        <w:textAlignment w:val="auto"/>
        <w:rPr>
          <w:rFonts w:hint="eastAsia" w:ascii="仿宋" w:hAnsi="仿宋" w:eastAsia="仿宋" w:cs="仿宋"/>
          <w:b/>
          <w:bCs/>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每参加院级文艺活动加0.5分，最多加4分</w:t>
      </w:r>
      <w:r>
        <w:rPr>
          <w:rFonts w:hint="eastAsia" w:ascii="仿宋" w:hAnsi="仿宋" w:eastAsia="仿宋" w:cs="仿宋"/>
          <w:b/>
          <w:bCs/>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lang w:val="en-US" w:eastAsia="zh-CN"/>
        </w:rPr>
        <w:t>参与与获奖不重复加分</w:t>
      </w:r>
      <w:r>
        <w:rPr>
          <w:rFonts w:hint="eastAsia" w:ascii="仿宋" w:hAnsi="仿宋" w:eastAsia="仿宋" w:cs="仿宋"/>
          <w:b/>
          <w:bCs/>
          <w:color w:val="auto"/>
          <w:kern w:val="0"/>
          <w:sz w:val="32"/>
          <w:szCs w:val="32"/>
          <w:highlight w:val="none"/>
          <w:shd w:val="clear" w:color="auto" w:fill="FFFFFF"/>
          <w:lang w:eastAsia="zh-CN"/>
        </w:rPr>
        <w:t>）</w:t>
      </w:r>
      <w:r>
        <w:rPr>
          <w:rFonts w:hint="eastAsia" w:ascii="仿宋" w:hAnsi="仿宋" w:eastAsia="仿宋" w:cs="仿宋"/>
          <w:b/>
          <w:bCs/>
          <w:color w:val="auto"/>
          <w:kern w:val="0"/>
          <w:sz w:val="32"/>
          <w:szCs w:val="32"/>
          <w:highlight w:val="none"/>
          <w:shd w:val="clear" w:color="auto" w:fill="FFFFFF"/>
        </w:rPr>
        <w:t>；</w:t>
      </w:r>
    </w:p>
    <w:p w14:paraId="38CBA12C">
      <w:pPr>
        <w:keepNext w:val="0"/>
        <w:keepLines w:val="0"/>
        <w:pageBreakBefore w:val="0"/>
        <w:widowControl/>
        <w:numPr>
          <w:ilvl w:val="0"/>
          <w:numId w:val="5"/>
        </w:numPr>
        <w:kinsoku/>
        <w:wordWrap/>
        <w:overflowPunct/>
        <w:topLinePunct w:val="0"/>
        <w:autoSpaceDE/>
        <w:autoSpaceDN/>
        <w:bidi w:val="0"/>
        <w:adjustRightInd/>
        <w:snapToGrid/>
        <w:spacing w:line="560" w:lineRule="exact"/>
        <w:ind w:left="778" w:leftChars="0" w:firstLine="482" w:firstLineChars="0"/>
        <w:textAlignment w:val="auto"/>
        <w:rPr>
          <w:rFonts w:hint="eastAsia" w:ascii="仿宋" w:hAnsi="仿宋" w:eastAsia="仿宋" w:cs="仿宋"/>
          <w:b/>
          <w:bCs/>
          <w:color w:val="auto"/>
          <w:kern w:val="0"/>
          <w:sz w:val="32"/>
          <w:szCs w:val="32"/>
          <w:highlight w:val="green"/>
          <w:shd w:val="clear" w:color="auto" w:fill="FFFFFF"/>
        </w:rPr>
      </w:pPr>
      <w:r>
        <w:rPr>
          <w:rFonts w:hint="eastAsia" w:ascii="仿宋" w:hAnsi="仿宋" w:eastAsia="仿宋" w:cs="仿宋"/>
          <w:b/>
          <w:bCs/>
          <w:color w:val="auto"/>
          <w:kern w:val="0"/>
          <w:sz w:val="32"/>
          <w:szCs w:val="32"/>
          <w:highlight w:val="green"/>
          <w:shd w:val="clear" w:color="auto" w:fill="FFFFFF"/>
          <w:lang w:val="en-US" w:eastAsia="zh-CN"/>
        </w:rPr>
        <w:t>参与</w:t>
      </w:r>
      <w:r>
        <w:rPr>
          <w:rFonts w:hint="eastAsia" w:ascii="仿宋" w:hAnsi="仿宋" w:eastAsia="仿宋" w:cs="仿宋"/>
          <w:b/>
          <w:bCs/>
          <w:color w:val="auto"/>
          <w:kern w:val="0"/>
          <w:sz w:val="32"/>
          <w:szCs w:val="32"/>
          <w:highlight w:val="green"/>
          <w:shd w:val="clear" w:color="auto" w:fill="FFFFFF"/>
        </w:rPr>
        <w:t>艾滋病知识竞赛</w:t>
      </w:r>
      <w:r>
        <w:rPr>
          <w:rFonts w:hint="eastAsia" w:ascii="仿宋" w:hAnsi="仿宋" w:eastAsia="仿宋" w:cs="仿宋"/>
          <w:b/>
          <w:bCs/>
          <w:color w:val="auto"/>
          <w:kern w:val="0"/>
          <w:sz w:val="32"/>
          <w:szCs w:val="32"/>
          <w:highlight w:val="green"/>
          <w:shd w:val="clear" w:color="auto" w:fill="FFFFFF"/>
          <w:lang w:val="en-US" w:eastAsia="zh-CN"/>
        </w:rPr>
        <w:t>等问卷答题的</w:t>
      </w:r>
      <w:r>
        <w:rPr>
          <w:rFonts w:hint="eastAsia" w:ascii="仿宋" w:hAnsi="仿宋" w:eastAsia="仿宋" w:cs="仿宋"/>
          <w:b/>
          <w:bCs/>
          <w:color w:val="auto"/>
          <w:kern w:val="0"/>
          <w:sz w:val="32"/>
          <w:szCs w:val="32"/>
          <w:highlight w:val="green"/>
          <w:shd w:val="clear" w:color="auto" w:fill="FFFFFF"/>
        </w:rPr>
        <w:t>不加分。</w:t>
      </w:r>
    </w:p>
    <w:p w14:paraId="6B38F5AE">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第十五条</w:t>
      </w:r>
      <w:r>
        <w:rPr>
          <w:rFonts w:hint="eastAsia" w:ascii="仿宋" w:hAnsi="仿宋" w:eastAsia="仿宋" w:cs="仿宋"/>
          <w:color w:val="auto"/>
          <w:kern w:val="0"/>
          <w:sz w:val="32"/>
          <w:szCs w:val="32"/>
          <w:highlight w:val="none"/>
          <w:shd w:val="clear" w:color="auto" w:fill="FFFFFF"/>
        </w:rPr>
        <w:t xml:space="preserve"> 素质拓展分中，学生参加创新创业类实践项目奖励加分（C4），最高分20分，由双创中心进行认定，标准为：</w:t>
      </w:r>
    </w:p>
    <w:p w14:paraId="3D2EEC87">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（一）参加创新创业类展会、年会或资金扶持资助项目的成员（团体），视等级每人加15—20分，省级加10—14分，市级加5—9分，校级加2-4分。</w:t>
      </w:r>
    </w:p>
    <w:p w14:paraId="1E2D7242">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（二）入驻廊坊华航e创空间项目满一学期的成员，依考核情况每成员加3—5分。</w:t>
      </w:r>
    </w:p>
    <w:p w14:paraId="190F63D0">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color w:val="auto"/>
          <w:kern w:val="0"/>
          <w:sz w:val="32"/>
          <w:szCs w:val="32"/>
          <w:highlight w:val="none"/>
          <w:shd w:val="clear" w:color="auto" w:fill="FFFFFF"/>
        </w:rPr>
        <w:t>（三）测评学期内办理营业执照或纳税证明的团队法人加2-3分。</w:t>
      </w:r>
    </w:p>
    <w:p w14:paraId="437F7A72">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 xml:space="preserve">第十六条 </w:t>
      </w:r>
      <w:r>
        <w:rPr>
          <w:rFonts w:hint="eastAsia" w:ascii="仿宋" w:hAnsi="仿宋" w:eastAsia="仿宋" w:cs="仿宋"/>
          <w:color w:val="auto"/>
          <w:kern w:val="0"/>
          <w:sz w:val="32"/>
          <w:szCs w:val="32"/>
          <w:highlight w:val="none"/>
          <w:shd w:val="clear" w:color="auto" w:fill="FFFFFF"/>
        </w:rPr>
        <w:t>素质拓展分中的各项加分，若同类项目中获得不同级别、等级的奖励，按最高一级计分，不重复计分。</w:t>
      </w:r>
    </w:p>
    <w:p w14:paraId="5F1784E8">
      <w:pPr>
        <w:keepNext w:val="0"/>
        <w:keepLines w:val="0"/>
        <w:pageBreakBefore w:val="0"/>
        <w:widowControl/>
        <w:kinsoku/>
        <w:wordWrap/>
        <w:overflowPunct/>
        <w:topLinePunct w:val="0"/>
        <w:autoSpaceDE/>
        <w:autoSpaceDN/>
        <w:bidi w:val="0"/>
        <w:adjustRightInd/>
        <w:snapToGrid/>
        <w:spacing w:before="313" w:beforeLines="100" w:after="157" w:afterLines="50" w:line="520" w:lineRule="exact"/>
        <w:jc w:val="center"/>
        <w:textAlignment w:val="auto"/>
        <w:rPr>
          <w:rFonts w:hint="eastAsia" w:ascii="黑体" w:hAnsi="黑体" w:eastAsia="黑体"/>
          <w:bCs/>
          <w:color w:val="000000"/>
          <w:kern w:val="0"/>
          <w:sz w:val="32"/>
          <w:szCs w:val="32"/>
          <w:shd w:val="clear" w:color="auto" w:fill="FFFFFF"/>
        </w:rPr>
      </w:pPr>
      <w:r>
        <w:rPr>
          <w:rFonts w:hint="eastAsia" w:ascii="黑体" w:hAnsi="黑体" w:eastAsia="黑体"/>
          <w:bCs/>
          <w:color w:val="000000"/>
          <w:kern w:val="0"/>
          <w:sz w:val="32"/>
          <w:szCs w:val="32"/>
          <w:shd w:val="clear" w:color="auto" w:fill="FFFFFF"/>
        </w:rPr>
        <w:t xml:space="preserve">第五章 </w:t>
      </w:r>
      <w:r>
        <w:rPr>
          <w:rFonts w:hint="eastAsia" w:ascii="黑体" w:hAnsi="黑体" w:eastAsia="黑体"/>
          <w:bCs/>
          <w:color w:val="000000"/>
          <w:kern w:val="0"/>
          <w:sz w:val="32"/>
          <w:szCs w:val="32"/>
          <w:shd w:val="clear" w:color="auto" w:fill="FFFFFF"/>
          <w:lang w:val="en-US" w:eastAsia="zh-CN"/>
        </w:rPr>
        <w:t xml:space="preserve"> </w:t>
      </w:r>
      <w:r>
        <w:rPr>
          <w:rFonts w:hint="eastAsia" w:ascii="黑体" w:hAnsi="黑体" w:eastAsia="黑体"/>
          <w:bCs/>
          <w:color w:val="000000"/>
          <w:kern w:val="0"/>
          <w:sz w:val="32"/>
          <w:szCs w:val="32"/>
          <w:shd w:val="clear" w:color="auto" w:fill="FFFFFF"/>
        </w:rPr>
        <w:t>综合测评的实施</w:t>
      </w:r>
    </w:p>
    <w:p w14:paraId="078554AC">
      <w:pPr>
        <w:widowControl/>
        <w:spacing w:line="520" w:lineRule="exact"/>
        <w:ind w:firstLine="643" w:firstLineChars="200"/>
        <w:rPr>
          <w:rFonts w:hint="eastAsia" w:ascii="仿宋" w:hAnsi="仿宋" w:eastAsia="仿宋" w:cs="仿宋"/>
          <w:color w:val="auto"/>
          <w:kern w:val="0"/>
          <w:sz w:val="32"/>
          <w:szCs w:val="32"/>
          <w:highlight w:val="none"/>
          <w:shd w:val="clear" w:color="auto" w:fill="FFFFFF"/>
        </w:rPr>
      </w:pPr>
      <w:r>
        <w:rPr>
          <w:rFonts w:hint="eastAsia" w:ascii="仿宋" w:hAnsi="仿宋" w:eastAsia="仿宋" w:cs="仿宋"/>
          <w:b/>
          <w:bCs/>
          <w:color w:val="auto"/>
          <w:kern w:val="0"/>
          <w:sz w:val="32"/>
          <w:szCs w:val="32"/>
          <w:highlight w:val="none"/>
          <w:shd w:val="clear" w:color="auto" w:fill="FFFFFF"/>
        </w:rPr>
        <w:t>第十七条</w:t>
      </w:r>
      <w:r>
        <w:rPr>
          <w:rFonts w:hint="eastAsia" w:ascii="仿宋" w:hAnsi="仿宋" w:eastAsia="仿宋" w:cs="仿宋"/>
          <w:color w:val="auto"/>
          <w:kern w:val="0"/>
          <w:sz w:val="32"/>
          <w:szCs w:val="32"/>
          <w:highlight w:val="none"/>
          <w:shd w:val="clear" w:color="auto" w:fill="FFFFFF"/>
        </w:rPr>
        <w:t xml:space="preserve"> 素质拓展分是指在课外科技、体育、文化、创新创业实践活动四个方面中表现突出的学生个人进行考评加分。</w:t>
      </w:r>
    </w:p>
    <w:p w14:paraId="10E9B58F">
      <w:pPr>
        <w:spacing w:line="20" w:lineRule="exact"/>
        <w:rPr>
          <w:rFonts w:hint="eastAsia" w:ascii="仿宋" w:hAnsi="仿宋" w:eastAsia="仿宋" w:cs="仿宋"/>
          <w:color w:val="auto"/>
          <w:sz w:val="32"/>
          <w:szCs w:val="32"/>
          <w:highlight w:val="none"/>
        </w:rPr>
      </w:pPr>
    </w:p>
    <w:sectPr>
      <w:headerReference r:id="rId3" w:type="default"/>
      <w:footerReference r:id="rId4" w:type="default"/>
      <w:pgSz w:w="11906" w:h="16838"/>
      <w:pgMar w:top="2098" w:right="1474" w:bottom="1985"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2000000000000000000"/>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390A">
    <w:pPr>
      <w:pStyle w:val="5"/>
      <w:framePr w:wrap="around" w:vAnchor="text" w:hAnchor="margin" w:xAlign="outside" w:y="1"/>
      <w:ind w:firstLine="480"/>
      <w:rPr>
        <w:rStyle w:val="10"/>
        <w:rFonts w:hint="eastAsia" w:ascii="宋体" w:hAnsi="宋体"/>
        <w:sz w:val="24"/>
        <w:szCs w:val="24"/>
      </w:rPr>
    </w:pPr>
    <w:r>
      <w:rPr>
        <w:rFonts w:ascii="宋体" w:hAnsi="宋体"/>
        <w:sz w:val="28"/>
        <w:szCs w:val="28"/>
      </w:rPr>
      <w:fldChar w:fldCharType="begin"/>
    </w:r>
    <w:r>
      <w:rPr>
        <w:rStyle w:val="10"/>
        <w:rFonts w:ascii="宋体" w:hAnsi="宋体"/>
        <w:sz w:val="28"/>
        <w:szCs w:val="28"/>
      </w:rPr>
      <w:instrText xml:space="preserve">PAGE  </w:instrText>
    </w:r>
    <w:r>
      <w:rPr>
        <w:rFonts w:ascii="宋体" w:hAnsi="宋体"/>
        <w:sz w:val="28"/>
        <w:szCs w:val="28"/>
      </w:rPr>
      <w:fldChar w:fldCharType="separate"/>
    </w:r>
    <w:r>
      <w:rPr>
        <w:rStyle w:val="10"/>
        <w:rFonts w:ascii="宋体" w:hAnsi="宋体"/>
        <w:sz w:val="28"/>
        <w:szCs w:val="28"/>
      </w:rPr>
      <w:t>- 6 -</w:t>
    </w:r>
    <w:r>
      <w:rPr>
        <w:rFonts w:ascii="宋体" w:hAnsi="宋体"/>
        <w:sz w:val="28"/>
        <w:szCs w:val="28"/>
      </w:rPr>
      <w:fldChar w:fldCharType="end"/>
    </w:r>
    <w:r>
      <w:rPr>
        <w:rStyle w:val="10"/>
        <w:rFonts w:hint="eastAsia" w:ascii="宋体" w:hAnsi="宋体"/>
        <w:sz w:val="24"/>
        <w:szCs w:val="24"/>
      </w:rPr>
      <w:t xml:space="preserve"> </w:t>
    </w:r>
  </w:p>
  <w:p w14:paraId="5D5F2CF5">
    <w:pPr>
      <w:pStyle w:val="5"/>
      <w:ind w:right="360" w:firstLine="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450B9">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E885C"/>
    <w:multiLevelType w:val="singleLevel"/>
    <w:tmpl w:val="AB8E885C"/>
    <w:lvl w:ilvl="0" w:tentative="0">
      <w:start w:val="1"/>
      <w:numFmt w:val="decimal"/>
      <w:suff w:val="nothing"/>
      <w:lvlText w:val="%1、"/>
      <w:lvlJc w:val="left"/>
      <w:pPr>
        <w:ind w:left="778"/>
      </w:pPr>
    </w:lvl>
  </w:abstractNum>
  <w:abstractNum w:abstractNumId="1">
    <w:nsid w:val="AE6555EB"/>
    <w:multiLevelType w:val="singleLevel"/>
    <w:tmpl w:val="AE6555EB"/>
    <w:lvl w:ilvl="0" w:tentative="0">
      <w:start w:val="1"/>
      <w:numFmt w:val="decimal"/>
      <w:suff w:val="nothing"/>
      <w:lvlText w:val="%1、"/>
      <w:lvlJc w:val="left"/>
      <w:pPr>
        <w:ind w:left="778"/>
      </w:pPr>
    </w:lvl>
  </w:abstractNum>
  <w:abstractNum w:abstractNumId="2">
    <w:nsid w:val="F35598CD"/>
    <w:multiLevelType w:val="singleLevel"/>
    <w:tmpl w:val="F35598CD"/>
    <w:lvl w:ilvl="0" w:tentative="0">
      <w:start w:val="1"/>
      <w:numFmt w:val="decimal"/>
      <w:suff w:val="nothing"/>
      <w:lvlText w:val="%1、"/>
      <w:lvlJc w:val="left"/>
    </w:lvl>
  </w:abstractNum>
  <w:abstractNum w:abstractNumId="3">
    <w:nsid w:val="2FECE70E"/>
    <w:multiLevelType w:val="singleLevel"/>
    <w:tmpl w:val="2FECE70E"/>
    <w:lvl w:ilvl="0" w:tentative="0">
      <w:start w:val="3"/>
      <w:numFmt w:val="chineseCounting"/>
      <w:suff w:val="nothing"/>
      <w:lvlText w:val="（%1）"/>
      <w:lvlJc w:val="left"/>
      <w:rPr>
        <w:rFonts w:hint="eastAsia"/>
      </w:rPr>
    </w:lvl>
  </w:abstractNum>
  <w:abstractNum w:abstractNumId="4">
    <w:nsid w:val="76390CFE"/>
    <w:multiLevelType w:val="singleLevel"/>
    <w:tmpl w:val="76390CFE"/>
    <w:lvl w:ilvl="0" w:tentative="0">
      <w:start w:val="1"/>
      <w:numFmt w:val="decimal"/>
      <w:suff w:val="nothing"/>
      <w:lvlText w:val="%1、"/>
      <w:lvlJc w:val="left"/>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kMTk3YmYzMmE3MzdjZWQ5Y2QwODM4NDliZDE2NDEifQ=="/>
  </w:docVars>
  <w:rsids>
    <w:rsidRoot w:val="009E46D1"/>
    <w:rsid w:val="00020AC7"/>
    <w:rsid w:val="00096496"/>
    <w:rsid w:val="000F2E7E"/>
    <w:rsid w:val="000F59A0"/>
    <w:rsid w:val="0014186F"/>
    <w:rsid w:val="001A3EDF"/>
    <w:rsid w:val="001A6CA3"/>
    <w:rsid w:val="001C0D0F"/>
    <w:rsid w:val="00213101"/>
    <w:rsid w:val="0027207C"/>
    <w:rsid w:val="002C4460"/>
    <w:rsid w:val="002D47D2"/>
    <w:rsid w:val="002E7BFF"/>
    <w:rsid w:val="00337835"/>
    <w:rsid w:val="004171F4"/>
    <w:rsid w:val="00435D71"/>
    <w:rsid w:val="004F3482"/>
    <w:rsid w:val="004F3E0E"/>
    <w:rsid w:val="004F7077"/>
    <w:rsid w:val="00501C2A"/>
    <w:rsid w:val="0056581D"/>
    <w:rsid w:val="00624D6C"/>
    <w:rsid w:val="00630972"/>
    <w:rsid w:val="006547AD"/>
    <w:rsid w:val="00657D80"/>
    <w:rsid w:val="00787683"/>
    <w:rsid w:val="007D4722"/>
    <w:rsid w:val="007D6248"/>
    <w:rsid w:val="007E0DFB"/>
    <w:rsid w:val="00833FF0"/>
    <w:rsid w:val="008506D8"/>
    <w:rsid w:val="00885AA9"/>
    <w:rsid w:val="008B72DA"/>
    <w:rsid w:val="008C0E8E"/>
    <w:rsid w:val="008C2C0C"/>
    <w:rsid w:val="008C3DA0"/>
    <w:rsid w:val="008D0704"/>
    <w:rsid w:val="009175B3"/>
    <w:rsid w:val="00926A7A"/>
    <w:rsid w:val="009E46D1"/>
    <w:rsid w:val="00A31EAB"/>
    <w:rsid w:val="00A6736E"/>
    <w:rsid w:val="00AA1E3B"/>
    <w:rsid w:val="00AE53A2"/>
    <w:rsid w:val="00B4744D"/>
    <w:rsid w:val="00B55E0F"/>
    <w:rsid w:val="00BC455C"/>
    <w:rsid w:val="00BE5E1B"/>
    <w:rsid w:val="00BF2269"/>
    <w:rsid w:val="00C72E5D"/>
    <w:rsid w:val="00CB12D4"/>
    <w:rsid w:val="00CB2E3A"/>
    <w:rsid w:val="00CD69DF"/>
    <w:rsid w:val="00CE5B02"/>
    <w:rsid w:val="00D30392"/>
    <w:rsid w:val="00D94D11"/>
    <w:rsid w:val="00DB6F2B"/>
    <w:rsid w:val="00DC214F"/>
    <w:rsid w:val="00DC5003"/>
    <w:rsid w:val="00E05E8E"/>
    <w:rsid w:val="00E13DF6"/>
    <w:rsid w:val="00E24AEB"/>
    <w:rsid w:val="00E44FD7"/>
    <w:rsid w:val="00E87173"/>
    <w:rsid w:val="00E9207E"/>
    <w:rsid w:val="00F7654E"/>
    <w:rsid w:val="00F81D38"/>
    <w:rsid w:val="00FA6693"/>
    <w:rsid w:val="00FB1501"/>
    <w:rsid w:val="00FE1337"/>
    <w:rsid w:val="00FF6E68"/>
    <w:rsid w:val="013A5680"/>
    <w:rsid w:val="01560D80"/>
    <w:rsid w:val="017644AA"/>
    <w:rsid w:val="02F6592B"/>
    <w:rsid w:val="037A025F"/>
    <w:rsid w:val="03895511"/>
    <w:rsid w:val="05F93B7C"/>
    <w:rsid w:val="07D05C2B"/>
    <w:rsid w:val="092C75A9"/>
    <w:rsid w:val="098679FD"/>
    <w:rsid w:val="099C5C53"/>
    <w:rsid w:val="0A82485E"/>
    <w:rsid w:val="0B0E3BC9"/>
    <w:rsid w:val="0D266145"/>
    <w:rsid w:val="0DFD6421"/>
    <w:rsid w:val="0E4F15A7"/>
    <w:rsid w:val="10883EC1"/>
    <w:rsid w:val="10AF2786"/>
    <w:rsid w:val="10D14BCA"/>
    <w:rsid w:val="1167223A"/>
    <w:rsid w:val="11F65FD1"/>
    <w:rsid w:val="14A72DBC"/>
    <w:rsid w:val="15B52B5F"/>
    <w:rsid w:val="15DD5A32"/>
    <w:rsid w:val="16696ECF"/>
    <w:rsid w:val="16802B7C"/>
    <w:rsid w:val="186C00DA"/>
    <w:rsid w:val="18A36EC9"/>
    <w:rsid w:val="199B3EBE"/>
    <w:rsid w:val="19E969E8"/>
    <w:rsid w:val="1A1324AA"/>
    <w:rsid w:val="1A2B7C18"/>
    <w:rsid w:val="1B0D3054"/>
    <w:rsid w:val="1B433444"/>
    <w:rsid w:val="1D130C5C"/>
    <w:rsid w:val="1DD42DE4"/>
    <w:rsid w:val="1DE16C57"/>
    <w:rsid w:val="1DF85D6B"/>
    <w:rsid w:val="1E122A78"/>
    <w:rsid w:val="1EDE377E"/>
    <w:rsid w:val="203D0C7B"/>
    <w:rsid w:val="25732DDD"/>
    <w:rsid w:val="260D5EF1"/>
    <w:rsid w:val="26A94D6D"/>
    <w:rsid w:val="27EE5919"/>
    <w:rsid w:val="2A9E547F"/>
    <w:rsid w:val="2B1A4537"/>
    <w:rsid w:val="2BD66288"/>
    <w:rsid w:val="2C2F7AF5"/>
    <w:rsid w:val="2CCF094E"/>
    <w:rsid w:val="2CD33B58"/>
    <w:rsid w:val="2E7518C5"/>
    <w:rsid w:val="2F1644DE"/>
    <w:rsid w:val="31093008"/>
    <w:rsid w:val="317238BB"/>
    <w:rsid w:val="31D401C3"/>
    <w:rsid w:val="3336449E"/>
    <w:rsid w:val="33982716"/>
    <w:rsid w:val="34402149"/>
    <w:rsid w:val="35931571"/>
    <w:rsid w:val="367B0FE4"/>
    <w:rsid w:val="372907BF"/>
    <w:rsid w:val="3746629F"/>
    <w:rsid w:val="374F0BE5"/>
    <w:rsid w:val="38406650"/>
    <w:rsid w:val="38CC1A06"/>
    <w:rsid w:val="38FA66C9"/>
    <w:rsid w:val="39775BEF"/>
    <w:rsid w:val="3D0C0967"/>
    <w:rsid w:val="3D904564"/>
    <w:rsid w:val="3E8EF511"/>
    <w:rsid w:val="3EF85BC4"/>
    <w:rsid w:val="3F8B5051"/>
    <w:rsid w:val="3F8B57AA"/>
    <w:rsid w:val="40A86BF9"/>
    <w:rsid w:val="413375B0"/>
    <w:rsid w:val="41AA65AB"/>
    <w:rsid w:val="41DF4BE6"/>
    <w:rsid w:val="4277375C"/>
    <w:rsid w:val="43281A78"/>
    <w:rsid w:val="43EE5567"/>
    <w:rsid w:val="452427C8"/>
    <w:rsid w:val="469E3628"/>
    <w:rsid w:val="46BE2E87"/>
    <w:rsid w:val="472B3AEA"/>
    <w:rsid w:val="47776A40"/>
    <w:rsid w:val="481366AF"/>
    <w:rsid w:val="487A23D8"/>
    <w:rsid w:val="4A1F0BBA"/>
    <w:rsid w:val="4A9C5E3C"/>
    <w:rsid w:val="4C5477EB"/>
    <w:rsid w:val="4CA15EBA"/>
    <w:rsid w:val="4D8A3C11"/>
    <w:rsid w:val="4E7A76E7"/>
    <w:rsid w:val="4F393A53"/>
    <w:rsid w:val="504606F1"/>
    <w:rsid w:val="50E17F23"/>
    <w:rsid w:val="51734085"/>
    <w:rsid w:val="519B7D7B"/>
    <w:rsid w:val="51F33A4C"/>
    <w:rsid w:val="51FB18B1"/>
    <w:rsid w:val="523454D9"/>
    <w:rsid w:val="527B77EE"/>
    <w:rsid w:val="529309FC"/>
    <w:rsid w:val="52B36F2C"/>
    <w:rsid w:val="53F10FB2"/>
    <w:rsid w:val="54373200"/>
    <w:rsid w:val="546F0DA7"/>
    <w:rsid w:val="54DA0A23"/>
    <w:rsid w:val="552A5F95"/>
    <w:rsid w:val="553954C4"/>
    <w:rsid w:val="557B2451"/>
    <w:rsid w:val="55FE4001"/>
    <w:rsid w:val="564C5BC5"/>
    <w:rsid w:val="57331468"/>
    <w:rsid w:val="590B7571"/>
    <w:rsid w:val="594C6B0D"/>
    <w:rsid w:val="59B91871"/>
    <w:rsid w:val="5AD8104F"/>
    <w:rsid w:val="5B4149DC"/>
    <w:rsid w:val="5B660CF8"/>
    <w:rsid w:val="5BFA5DA8"/>
    <w:rsid w:val="5CEC2823"/>
    <w:rsid w:val="5DF3618F"/>
    <w:rsid w:val="5FBDB83E"/>
    <w:rsid w:val="5FC34AF6"/>
    <w:rsid w:val="5FE459F8"/>
    <w:rsid w:val="5FFE1F71"/>
    <w:rsid w:val="60AE6142"/>
    <w:rsid w:val="60F01D14"/>
    <w:rsid w:val="61014C57"/>
    <w:rsid w:val="621E189A"/>
    <w:rsid w:val="63B133E3"/>
    <w:rsid w:val="64432891"/>
    <w:rsid w:val="64C85CA3"/>
    <w:rsid w:val="6549634D"/>
    <w:rsid w:val="6579224E"/>
    <w:rsid w:val="658D6499"/>
    <w:rsid w:val="65F91F65"/>
    <w:rsid w:val="666A3B45"/>
    <w:rsid w:val="67221E56"/>
    <w:rsid w:val="67D134A0"/>
    <w:rsid w:val="67DB1826"/>
    <w:rsid w:val="680718E8"/>
    <w:rsid w:val="68C04500"/>
    <w:rsid w:val="692661A0"/>
    <w:rsid w:val="6960024B"/>
    <w:rsid w:val="69CB73C3"/>
    <w:rsid w:val="69F0359A"/>
    <w:rsid w:val="6A34546D"/>
    <w:rsid w:val="6A8C3707"/>
    <w:rsid w:val="6AAE7EC7"/>
    <w:rsid w:val="6C2A1562"/>
    <w:rsid w:val="6E996E4B"/>
    <w:rsid w:val="70EA3BE1"/>
    <w:rsid w:val="711A65C5"/>
    <w:rsid w:val="71F3418B"/>
    <w:rsid w:val="71F57696"/>
    <w:rsid w:val="72871027"/>
    <w:rsid w:val="73334198"/>
    <w:rsid w:val="73F94888"/>
    <w:rsid w:val="74F264C3"/>
    <w:rsid w:val="759B9B3F"/>
    <w:rsid w:val="75C6406E"/>
    <w:rsid w:val="76392674"/>
    <w:rsid w:val="76612352"/>
    <w:rsid w:val="77FFC010"/>
    <w:rsid w:val="781A347B"/>
    <w:rsid w:val="78FB5EF5"/>
    <w:rsid w:val="7941234F"/>
    <w:rsid w:val="7A721EC3"/>
    <w:rsid w:val="7B173216"/>
    <w:rsid w:val="7CC12815"/>
    <w:rsid w:val="7CD64444"/>
    <w:rsid w:val="7D1758D5"/>
    <w:rsid w:val="7D40198C"/>
    <w:rsid w:val="7D6600D4"/>
    <w:rsid w:val="7E7F5D20"/>
    <w:rsid w:val="7EE56A73"/>
    <w:rsid w:val="7EFF28A1"/>
    <w:rsid w:val="7F3EC0E9"/>
    <w:rsid w:val="7F857B2A"/>
    <w:rsid w:val="7F8FC03A"/>
    <w:rsid w:val="ABFBD77A"/>
    <w:rsid w:val="AFFF17D9"/>
    <w:rsid w:val="DFE6D43C"/>
    <w:rsid w:val="FD571DE1"/>
    <w:rsid w:val="FFF76E7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Date"/>
    <w:basedOn w:val="1"/>
    <w:next w:val="1"/>
    <w:link w:val="11"/>
    <w:qFormat/>
    <w:uiPriority w:val="0"/>
    <w:pPr>
      <w:ind w:left="100" w:leftChars="2500"/>
    </w:pPr>
    <w:rPr>
      <w:sz w:val="30"/>
      <w:szCs w:val="20"/>
    </w:rPr>
  </w:style>
  <w:style w:type="paragraph" w:styleId="4">
    <w:name w:val="Balloon Text"/>
    <w:basedOn w:val="1"/>
    <w:link w:val="12"/>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qFormat/>
    <w:uiPriority w:val="0"/>
  </w:style>
  <w:style w:type="character" w:customStyle="1" w:styleId="11">
    <w:name w:val="日期 字符"/>
    <w:link w:val="3"/>
    <w:qFormat/>
    <w:uiPriority w:val="0"/>
    <w:rPr>
      <w:kern w:val="2"/>
      <w:sz w:val="30"/>
    </w:rPr>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0"/>
    <w:rPr>
      <w:kern w:val="2"/>
      <w:sz w:val="18"/>
      <w:szCs w:val="18"/>
    </w:rPr>
  </w:style>
  <w:style w:type="character" w:customStyle="1" w:styleId="14">
    <w:name w:val="页眉 字符"/>
    <w:link w:val="6"/>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10</Pages>
  <Words>3691</Words>
  <Characters>3909</Characters>
  <Lines>28</Lines>
  <Paragraphs>8</Paragraphs>
  <TotalTime>5</TotalTime>
  <ScaleCrop>false</ScaleCrop>
  <LinksUpToDate>false</LinksUpToDate>
  <CharactersWithSpaces>3990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2019-05-24T15:33:00Z</dcterms:created>
  <dc:creator>200900926</dc:creator>
  <cp:lastModifiedBy>瞎折腾</cp:lastModifiedBy>
  <cp:lastPrinted>2020-09-03T17:23:00Z</cp:lastPrinted>
  <dcterms:modified xsi:type="dcterms:W3CDTF">2025-09-04T11:26:02Z</dcterms:modified>
  <dc:title>北华航天工业学院文件</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5D1BFF1A36D24F518A4138901D4D1EA1</vt:lpwstr>
  </property>
</Properties>
</file>