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一、实验目的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二、实验内容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数据读取与清洗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　数据清洗流程对照</w:t>
      </w:r>
    </w:p>
    <w:p>
      <w:pPr>
        <w:pStyle w:val="Heading2"/>
      </w:pPr>
      <w:r>
        <w:rPr>
          <w:rFonts w:eastAsia="黑体"/>
          <w:b/>
          <w:sz w:val="28"/>
        </w:rPr>
        <w:t>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　缺失值处理方案</w:t>
      </w:r>
    </w:p>
    <w:p>
      <w:pPr>
        <w:pStyle w:val="Heading2"/>
      </w:pPr>
      <w:r>
        <w:rPr>
          <w:rFonts w:eastAsia="黑体"/>
          <w:b/>
          <w:sz w:val="28"/>
        </w:rPr>
        <w:t>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　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　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　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四、实验结论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