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　数据清洗流程对照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　缺失值处理方案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　信用好客户约 93%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　坏账率随年龄单调下降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　坏账客户月收入中位数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