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3.1 数据读取与清洗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urier New" w:hAnsi="Courier New" w:eastAsia="Courier New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剩余行数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本步删掉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4100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3087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7099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表1: 数据清洗流程对照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列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缺失数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删除该行（缺失约 18%，关键列）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表2: 缺失值处理方案</w:t>
      </w:r>
    </w:p>
    <w:p>
      <w:pPr>
        <w:tabs>
          <w:tab w:val="center" w:pos="5953"/>
          <w:tab w:val="right" w:pos="11107"/>
        </w:tabs>
      </w:pPr>
      <m:oMath>
        <m:r>
          <w:rPr>
            <w:rFonts w:ascii="Cambria Math" w:hAnsi="Cambria Math"/>
            <w:sz w:val="24"/>
          </w:rPr>
          <m:t>IQR=Q3−Q1, 正常范围=[Q1−1.5IQR, Q3+1.5IQR]</m:t>
        </m:r>
      </m:oMath>
      <w:r>
        <w:rPr>
          <w:sz w:val="24"/>
        </w:rPr>
        <w:tab/>
        <w:t>(1)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图1: 信用好客户约 93%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图2: 坏账率随年龄单调下降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图3: 坏账客户月收入中位数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