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eastAsia="黑体"/>
          <w:b/>
          <w:sz w:val="36"/>
        </w:rPr>
        <w:t>数据挖掘与应用课程实验报告——实验一 金融坏账数据预处理和可视化</w:t>
      </w:r>
    </w:p>
    <w:p>
      <w:pPr>
        <w:pStyle w:val="Heading1"/>
      </w:pPr>
      <w:r>
        <w:rPr>
          <w:rFonts w:ascii="Calibri" w:hAnsi="Calibri" w:eastAsia="黑体"/>
          <w:b/>
          <w:sz w:val="32"/>
        </w:rPr>
        <w:t>1 实验目的</w:t>
      </w:r>
    </w:p>
    <w:p>
      <w:pPr>
        <w:spacing w:line="360" w:lineRule="auto"/>
      </w:pPr>
      <w:r>
        <w:rPr>
          <w:rFonts w:ascii="Calibri" w:hAnsi="Calibri" w:eastAsia="宋体"/>
          <w:sz w:val="24"/>
        </w:rPr>
        <w:t>1. 掌握使用 pandas 进行数据加载、初步探索与清洗的完整流程</w:t>
      </w:r>
    </w:p>
    <w:p>
      <w:pPr>
        <w:spacing w:line="360" w:lineRule="auto"/>
      </w:pPr>
      <w:r>
        <w:rPr>
          <w:rFonts w:ascii="Calibri" w:hAnsi="Calibri" w:eastAsia="宋体"/>
          <w:sz w:val="24"/>
        </w:rPr>
        <w:t>2. 掌握检测和处理缺失值、异常值、重复值的常用方法</w:t>
      </w:r>
    </w:p>
    <w:p>
      <w:pPr>
        <w:spacing w:line="360" w:lineRule="auto"/>
      </w:pPr>
      <w:r>
        <w:rPr>
          <w:rFonts w:ascii="Calibri" w:hAnsi="Calibri" w:eastAsia="宋体"/>
          <w:sz w:val="24"/>
        </w:rPr>
        <w:t>3. 学会使用 matplotlib 绘制基本统计图表，并进行数据分析</w:t>
      </w:r>
    </w:p>
    <w:p>
      <w:pPr>
        <w:pStyle w:val="Heading1"/>
      </w:pPr>
      <w:r>
        <w:rPr>
          <w:rFonts w:ascii="Calibri" w:hAnsi="Calibri" w:eastAsia="黑体"/>
          <w:b/>
          <w:sz w:val="32"/>
        </w:rPr>
        <w:t>2 实验内容</w:t>
      </w:r>
    </w:p>
    <w:p>
      <w:pPr>
        <w:spacing w:line="360" w:lineRule="auto"/>
        <w:jc w:val="both"/>
        <w:ind w:firstLineChars="200"/>
      </w:pPr>
      <w:r>
        <w:rPr>
          <w:rFonts w:ascii="Calibri" w:hAnsi="Calibri" w:eastAsia="宋体"/>
          <w:sz w:val="24"/>
        </w:rPr>
        <w:t>本实验使用 Kaggle 信贷数据集（银行坏账.csv，共 150000 行 6 列），围绕数据读取、查询、统计、清洗与可视化五个任务展开，重点比较正常客户与坏账客户的特征差异。</w:t>
      </w:r>
    </w:p>
    <w:p>
      <w:pPr>
        <w:pStyle w:val="Heading2"/>
      </w:pPr>
      <w:r>
        <w:rPr>
          <w:rFonts w:ascii="Calibri" w:hAnsi="Calibri" w:eastAsia="黑体"/>
          <w:b/>
          <w:sz w:val="28"/>
        </w:rPr>
        <w:t>3.1 数据读取与清洗</w:t>
      </w:r>
    </w:p>
    <w:p>
      <w:pPr>
        <w:spacing w:line="240" w:lineRule="auto"/>
      </w:pPr>
      <w:r>
        <w:rPr>
          <w:rFonts w:ascii="Courier New" w:hAnsi="Courier New" w:eastAsia="Courier New"/>
          <w:sz w:val="21"/>
        </w:rPr>
        <w:t>df = pd.read_csv("银行坏账.csv", encoding="gbk")</w:t>
      </w:r>
    </w:p>
    <w:p>
      <w:pPr>
        <w:spacing w:line="240" w:lineRule="auto"/>
      </w:pPr>
      <w:r>
        <w:rPr>
          <w:rFonts w:ascii="Courier New" w:hAnsi="Courier New" w:eastAsia="Courier New"/>
          <w:sz w:val="21"/>
        </w:rPr>
        <w:t>feat_cols = ["年龄", "负债率", "月收入", "家属数量"]</w:t>
      </w:r>
    </w:p>
    <w:p>
      <w:pPr>
        <w:spacing w:line="240" w:lineRule="auto"/>
      </w:pPr>
      <w:r>
        <w:rPr>
          <w:rFonts w:ascii="Courier New" w:hAnsi="Courier New" w:eastAsia="Courier New"/>
          <w:sz w:val="21"/>
        </w:rPr>
        <w:t>df = df.drop_duplicates(subset=feat_cols, keep="first")</w:t>
      </w:r>
    </w:p>
    <w:p>
      <w:pPr>
        <w:spacing w:line="240" w:lineRule="auto"/>
      </w:pPr>
      <w:r>
        <w:rPr>
          <w:rFonts w:ascii="Courier New" w:hAnsi="Courier New" w:eastAsia="Courier New"/>
          <w:sz w:val="21"/>
        </w:rPr>
        <w:t>df = df.dropna(subset=["月收入"])</w:t>
      </w:r>
    </w:p>
    <w:p>
      <w:pPr>
        <w:spacing w:line="360" w:lineRule="auto"/>
        <w:jc w:val="both"/>
        <w:ind w:firstLineChars="200"/>
      </w:pPr>
      <w:r>
        <w:rPr>
          <w:rFonts w:ascii="Calibri" w:hAnsi="Calibri" w:eastAsia="宋体"/>
          <w:sz w:val="24"/>
        </w:rPr>
        <w:t>清洗流程与行数对照如下表所示，重复值以四个客户特征列判断，共删除 4100 行；月收入缺失占 17.9% 直接删行，家属数量以中位数填充。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r/>
            <w:r>
              <w:rPr>
                <w:b/>
                <w:sz w:val="21"/>
              </w:rPr>
              <w:t>步骤</w:t>
            </w:r>
          </w:p>
        </w:tc>
        <w:tc>
          <w:tcPr>
            <w:tcW w:type="dxa" w:w="2771"/>
          </w:tcPr>
          <w:p>
            <w:r/>
            <w:r>
              <w:rPr>
                <w:b/>
                <w:sz w:val="21"/>
              </w:rPr>
              <w:t>剩余行数</w:t>
            </w:r>
          </w:p>
        </w:tc>
        <w:tc>
          <w:tcPr>
            <w:tcW w:type="dxa" w:w="2771"/>
          </w:tcPr>
          <w:p>
            <w:r/>
            <w:r>
              <w:rPr>
                <w:b/>
                <w:sz w:val="21"/>
              </w:rPr>
              <w:t>本步删掉</w:t>
            </w:r>
          </w:p>
        </w:tc>
      </w:tr>
      <w:tr>
        <w:tc>
          <w:tcPr>
            <w:tcW w:type="dxa" w:w="2771"/>
          </w:tcPr>
          <w:p>
            <w:r/>
            <w:r>
              <w:rPr>
                <w:sz w:val="21"/>
              </w:rPr>
              <w:t>原始读取</w:t>
            </w:r>
          </w:p>
        </w:tc>
        <w:tc>
          <w:tcPr>
            <w:tcW w:type="dxa" w:w="2771"/>
          </w:tcPr>
          <w:p>
            <w:r/>
            <w:r>
              <w:rPr>
                <w:sz w:val="21"/>
              </w:rPr>
              <w:t>150000</w:t>
            </w:r>
          </w:p>
        </w:tc>
        <w:tc>
          <w:tcPr>
            <w:tcW w:type="dxa" w:w="2771"/>
          </w:tcPr>
          <w:p>
            <w:r/>
            <w:r>
              <w:rPr>
                <w:sz w:val="21"/>
              </w:rPr>
              <w:t>—</w:t>
            </w:r>
          </w:p>
        </w:tc>
      </w:tr>
      <w:tr>
        <w:tc>
          <w:tcPr>
            <w:tcW w:type="dxa" w:w="2771"/>
          </w:tcPr>
          <w:p>
            <w:r/>
            <w:r>
              <w:rPr>
                <w:sz w:val="21"/>
              </w:rPr>
              <w:t>去重（按客户特征列）</w:t>
            </w:r>
          </w:p>
        </w:tc>
        <w:tc>
          <w:tcPr>
            <w:tcW w:type="dxa" w:w="2771"/>
          </w:tcPr>
          <w:p>
            <w:r/>
            <w:r>
              <w:rPr>
                <w:sz w:val="21"/>
              </w:rPr>
              <w:t>145900</w:t>
            </w:r>
          </w:p>
        </w:tc>
        <w:tc>
          <w:tcPr>
            <w:tcW w:type="dxa" w:w="2771"/>
          </w:tcPr>
          <w:p>
            <w:r/>
            <w:r>
              <w:rPr>
                <w:sz w:val="21"/>
              </w:rPr>
              <w:t>4100</w:t>
            </w:r>
          </w:p>
        </w:tc>
      </w:tr>
      <w:tr>
        <w:tc>
          <w:tcPr>
            <w:tcW w:type="dxa" w:w="2771"/>
          </w:tcPr>
          <w:p>
            <w:r/>
            <w:r>
              <w:rPr>
                <w:sz w:val="21"/>
              </w:rPr>
              <w:t>删月收入缺失</w:t>
            </w:r>
          </w:p>
        </w:tc>
        <w:tc>
          <w:tcPr>
            <w:tcW w:type="dxa" w:w="2771"/>
          </w:tcPr>
          <w:p>
            <w:r/>
            <w:r>
              <w:rPr>
                <w:sz w:val="21"/>
              </w:rPr>
              <w:t>119762</w:t>
            </w:r>
          </w:p>
        </w:tc>
        <w:tc>
          <w:tcPr>
            <w:tcW w:type="dxa" w:w="2771"/>
          </w:tcPr>
          <w:p>
            <w:r/>
            <w:r>
              <w:rPr>
                <w:sz w:val="21"/>
              </w:rPr>
              <w:t>26138</w:t>
            </w:r>
          </w:p>
        </w:tc>
      </w:tr>
      <w:tr>
        <w:tc>
          <w:tcPr>
            <w:tcW w:type="dxa" w:w="2771"/>
          </w:tcPr>
          <w:p>
            <w:r/>
            <w:r>
              <w:rPr>
                <w:sz w:val="21"/>
              </w:rPr>
              <w:t>年龄 20~80</w:t>
            </w:r>
          </w:p>
        </w:tc>
        <w:tc>
          <w:tcPr>
            <w:tcW w:type="dxa" w:w="2771"/>
          </w:tcPr>
          <w:p>
            <w:r/>
            <w:r>
              <w:rPr>
                <w:sz w:val="21"/>
              </w:rPr>
              <w:t>116675</w:t>
            </w:r>
          </w:p>
        </w:tc>
        <w:tc>
          <w:tcPr>
            <w:tcW w:type="dxa" w:w="2771"/>
          </w:tcPr>
          <w:p>
            <w:r/>
            <w:r>
              <w:rPr>
                <w:sz w:val="21"/>
              </w:rPr>
              <w:t>3087</w:t>
            </w:r>
          </w:p>
        </w:tc>
      </w:tr>
      <w:tr>
        <w:tc>
          <w:tcPr>
            <w:tcW w:type="dxa" w:w="2771"/>
          </w:tcPr>
          <w:p>
            <w:r/>
            <w:r>
              <w:rPr>
                <w:sz w:val="21"/>
              </w:rPr>
              <w:t>负债率 ≤1</w:t>
            </w:r>
          </w:p>
        </w:tc>
        <w:tc>
          <w:tcPr>
            <w:tcW w:type="dxa" w:w="2771"/>
          </w:tcPr>
          <w:p>
            <w:r/>
            <w:r>
              <w:rPr>
                <w:sz w:val="21"/>
              </w:rPr>
              <w:t>109576</w:t>
            </w:r>
          </w:p>
        </w:tc>
        <w:tc>
          <w:tcPr>
            <w:tcW w:type="dxa" w:w="2771"/>
          </w:tcPr>
          <w:p>
            <w:r/>
            <w:r>
              <w:rPr>
                <w:sz w:val="21"/>
              </w:rPr>
              <w:t>7099</w:t>
            </w:r>
          </w:p>
        </w:tc>
      </w:tr>
      <w:tr>
        <w:tc>
          <w:tcPr>
            <w:tcW w:type="dxa" w:w="2771"/>
          </w:tcPr>
          <w:p>
            <w:r/>
            <w:r>
              <w:rPr>
                <w:sz w:val="21"/>
              </w:rPr>
              <w:t>月收入 IQR 法</w:t>
            </w:r>
          </w:p>
        </w:tc>
        <w:tc>
          <w:tcPr>
            <w:tcW w:type="dxa" w:w="2771"/>
          </w:tcPr>
          <w:p>
            <w:r/>
            <w:r>
              <w:rPr>
                <w:sz w:val="21"/>
              </w:rPr>
              <w:t>104881</w:t>
            </w:r>
          </w:p>
        </w:tc>
        <w:tc>
          <w:tcPr>
            <w:tcW w:type="dxa" w:w="2771"/>
          </w:tcPr>
          <w:p>
            <w:r/>
            <w:r>
              <w:rPr>
                <w:sz w:val="21"/>
              </w:rPr>
              <w:t>4695</w:t>
            </w:r>
          </w:p>
        </w:tc>
      </w:tr>
    </w:tbl>
    <w:p>
      <w:pPr>
        <w:jc w:val="center"/>
      </w:pPr>
      <w:r>
        <w:rPr>
          <w:rFonts w:eastAsia="宋体"/>
          <w:b w:val="0"/>
          <w:sz w:val="21"/>
        </w:rPr>
        <w:t>表1: 数据清洗流程对照</w:t>
      </w:r>
    </w:p>
    <w:p>
      <w:pPr>
        <w:pStyle w:val="Heading2"/>
      </w:pPr>
      <w:r>
        <w:rPr>
          <w:rFonts w:ascii="Calibri" w:hAnsi="Calibri" w:eastAsia="黑体"/>
          <w:b/>
          <w:sz w:val="28"/>
        </w:rPr>
        <w:t>3.2 数据统计</w:t>
      </w:r>
    </w:p>
    <w:p>
      <w:pPr>
        <w:spacing w:line="360" w:lineRule="auto"/>
        <w:jc w:val="both"/>
        <w:ind w:firstLineChars="200"/>
      </w:pPr>
      <w:r>
        <w:rPr>
          <w:rFonts w:ascii="Calibri" w:hAnsi="Calibri" w:eastAsia="宋体"/>
          <w:sz w:val="24"/>
        </w:rPr>
        <w:t>年龄均值 52.3、中位数 52.0、标准差 14.77，最大 109、最小 0 属异常；好坏客户计数 139974:10026，坏账占比约 7%，类别不均衡；分组统计显示坏账客户平均年龄更小（45.9&lt;52.8）、平均月收入更低（5631&lt;6748）。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r/>
            <w:r>
              <w:rPr>
                <w:b/>
                <w:sz w:val="21"/>
              </w:rPr>
              <w:t>列</w:t>
            </w:r>
          </w:p>
        </w:tc>
        <w:tc>
          <w:tcPr>
            <w:tcW w:type="dxa" w:w="2771"/>
          </w:tcPr>
          <w:p>
            <w:r/>
            <w:r>
              <w:rPr>
                <w:b/>
                <w:sz w:val="21"/>
              </w:rPr>
              <w:t>缺失数</w:t>
            </w:r>
          </w:p>
        </w:tc>
        <w:tc>
          <w:tcPr>
            <w:tcW w:type="dxa" w:w="2771"/>
          </w:tcPr>
          <w:p>
            <w:r/>
            <w:r>
              <w:rPr>
                <w:b/>
                <w:sz w:val="21"/>
              </w:rPr>
              <w:t>处理方法</w:t>
            </w:r>
          </w:p>
        </w:tc>
      </w:tr>
      <w:tr>
        <w:tc>
          <w:tcPr>
            <w:tcW w:type="dxa" w:w="2771"/>
          </w:tcPr>
          <w:p>
            <w:r/>
            <w:r>
              <w:rPr>
                <w:sz w:val="21"/>
              </w:rPr>
              <w:t>月收入</w:t>
            </w:r>
          </w:p>
        </w:tc>
        <w:tc>
          <w:tcPr>
            <w:tcW w:type="dxa" w:w="2771"/>
          </w:tcPr>
          <w:p>
            <w:r/>
            <w:r>
              <w:rPr>
                <w:sz w:val="21"/>
              </w:rPr>
              <w:t>26138</w:t>
            </w:r>
          </w:p>
        </w:tc>
        <w:tc>
          <w:tcPr>
            <w:tcW w:type="dxa" w:w="2771"/>
          </w:tcPr>
          <w:p>
            <w:r/>
            <w:r>
              <w:rPr>
                <w:sz w:val="21"/>
              </w:rPr>
              <w:t>删除该行（缺失约 18%，关键列）</w:t>
            </w:r>
          </w:p>
        </w:tc>
      </w:tr>
      <w:tr>
        <w:tc>
          <w:tcPr>
            <w:tcW w:type="dxa" w:w="2771"/>
          </w:tcPr>
          <w:p>
            <w:r/>
            <w:r>
              <w:rPr>
                <w:sz w:val="21"/>
              </w:rPr>
              <w:t>家属数量</w:t>
            </w:r>
          </w:p>
        </w:tc>
        <w:tc>
          <w:tcPr>
            <w:tcW w:type="dxa" w:w="2771"/>
          </w:tcPr>
          <w:p>
            <w:r/>
            <w:r>
              <w:rPr>
                <w:sz w:val="21"/>
              </w:rPr>
              <w:t>3380</w:t>
            </w:r>
          </w:p>
        </w:tc>
        <w:tc>
          <w:tcPr>
            <w:tcW w:type="dxa" w:w="2771"/>
          </w:tcPr>
          <w:p>
            <w:r/>
            <w:r>
              <w:rPr>
                <w:sz w:val="21"/>
              </w:rPr>
              <w:t>中位数填充（缺失仅 2.3%）</w:t>
            </w:r>
          </w:p>
        </w:tc>
      </w:tr>
    </w:tbl>
    <w:p>
      <w:pPr>
        <w:jc w:val="center"/>
      </w:pPr>
      <w:r>
        <w:rPr>
          <w:rFonts w:eastAsia="宋体"/>
          <w:b w:val="0"/>
          <w:sz w:val="21"/>
        </w:rPr>
        <w:t>表2: 缺失值处理方案</w:t>
      </w:r>
    </w:p>
    <w:p>
      <w:pPr>
        <w:pStyle w:val="Heading2"/>
      </w:pPr>
      <w:r>
        <w:rPr>
          <w:rFonts w:ascii="Calibri" w:hAnsi="Calibri" w:eastAsia="黑体"/>
          <w:b/>
          <w:sz w:val="28"/>
        </w:rPr>
        <w:t>3.3 数据可视化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008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图1: 信用好客户约 93%</w:t>
      </w:r>
    </w:p>
    <w:p>
      <w:pPr>
        <w:spacing w:line="360" w:lineRule="auto"/>
        <w:jc w:val="both"/>
        <w:ind w:firstLineChars="200"/>
      </w:pPr>
      <w:r>
        <w:rPr>
          <w:rFonts w:ascii="Calibri" w:hAnsi="Calibri" w:eastAsia="宋体"/>
          <w:sz w:val="24"/>
        </w:rPr>
        <w:t>图1结论：信用好客户约 93%，坏账约 7%，属类别不均衡数据。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0085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图2: 坏账率随年龄单调下降</w:t>
      </w:r>
    </w:p>
    <w:p>
      <w:pPr>
        <w:spacing w:line="360" w:lineRule="auto"/>
        <w:jc w:val="both"/>
        <w:ind w:firstLineChars="200"/>
      </w:pPr>
      <w:r>
        <w:rPr>
          <w:rFonts w:ascii="Calibri" w:hAnsi="Calibri" w:eastAsia="宋体"/>
          <w:sz w:val="24"/>
        </w:rPr>
        <w:t>图2结论：坏账率随年龄单调下降，20~33 岁最高约 11.1%，68~80 岁最低约 2.6%。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0085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图3: 坏账客户月收入中位数</w:t>
      </w:r>
    </w:p>
    <w:p>
      <w:pPr>
        <w:spacing w:line="360" w:lineRule="auto"/>
        <w:jc w:val="both"/>
        <w:ind w:firstLineChars="200"/>
      </w:pPr>
      <w:r>
        <w:rPr>
          <w:rFonts w:ascii="Calibri" w:hAnsi="Calibri" w:eastAsia="宋体"/>
          <w:sz w:val="24"/>
        </w:rPr>
        <w:t>图3结论：坏账客户月收入中位数 4540 低于好客户 5525，收入越低越易坏账。</w:t>
      </w:r>
    </w:p>
    <w:p>
      <w:pPr>
        <w:pStyle w:val="Heading1"/>
      </w:pPr>
      <w:r>
        <w:rPr>
          <w:rFonts w:ascii="Calibri" w:hAnsi="Calibri" w:eastAsia="黑体"/>
          <w:b/>
          <w:sz w:val="32"/>
        </w:rPr>
        <w:t>4 实验结论</w:t>
      </w:r>
    </w:p>
    <w:p>
      <w:pPr>
        <w:spacing w:line="360" w:lineRule="auto"/>
        <w:jc w:val="both"/>
        <w:ind w:firstLineChars="200"/>
      </w:pPr>
      <w:r>
        <w:rPr>
          <w:rFonts w:ascii="Calibri" w:hAnsi="Calibri" w:eastAsia="宋体"/>
          <w:sz w:val="24"/>
        </w:rPr>
        <w:t>本实验完整走通了数据清洗流程，150000 行数据最终保留 104881 行；发现坏账客户呈现年轻化、低收入特征，为后续建模提供了方向。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