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ascii="Times New Roman" w:hAnsi="Times New Roman" w:eastAsia="宋体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ascii="Times New Roman" w:hAnsi="Times New Roman" w:eastAsia="宋体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ascii="Times New Roman" w:hAnsi="Times New Roman" w:eastAsia="宋体"/>
          <w:b/>
          <w:bCs/>
          <w:sz w:val="28"/>
          <w:szCs w:val="28"/>
        </w:rPr>
        <w:t>2.1 数据读取与清洗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pd.read_csv("银行坏账.csv", encoding="gbk")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feat_cols = ["年龄", "负债率", "月收入", "家属数量"]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df.drop_duplicates(subset=feat_cols, keep="first")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df.dropna(subset=["月收入"])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ascii="Times New Roman" w:hAnsi="Times New Roman" w:eastAsia="宋体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ascii="Times New Roman" w:hAnsi="Times New Roman" w:eastAsia="宋体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图2-1结论：信用好客户约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图2-2结论：坏账率随年龄单调下降，20~33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图2-3结论：坏账客户月收入中位数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ascii="Times New Roman" w:hAnsi="Times New Roman" w:eastAsia="宋体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ascii="Times New Roman" w:hAnsi="Times New Roman" w:eastAsia="宋体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