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eastAsia="黑体"/>
          <w:b/>
          <w:sz w:val="36"/>
        </w:rPr>
        <w:t>数据挖掘与应用课程实验报告——实验一 金融坏账数据预处理和可视化</w:t>
      </w:r>
    </w:p>
    <w:p>
      <w:pPr>
        <w:pStyle w:val="Heading1"/>
      </w:pPr>
      <w:r>
        <w:rPr>
          <w:rFonts w:eastAsia="黑体"/>
          <w:b/>
          <w:sz w:val="32"/>
        </w:rPr>
        <w:t>1 实验目的</w:t>
      </w:r>
    </w:p>
    <w:p>
      <w:pPr>
        <w:spacing w:line="360" w:lineRule="auto"/>
      </w:pPr>
      <w:r>
        <w:rPr>
          <w:rFonts w:eastAsia="宋体"/>
          <w:sz w:val="24"/>
        </w:rPr>
        <w:t>1. 掌握使用 pandas 进行数据加载、初步探索与清洗的完整流程</w:t>
      </w:r>
    </w:p>
    <w:p>
      <w:pPr>
        <w:spacing w:line="360" w:lineRule="auto"/>
      </w:pPr>
      <w:r>
        <w:rPr>
          <w:rFonts w:eastAsia="宋体"/>
          <w:sz w:val="24"/>
        </w:rPr>
        <w:t>2. 掌握检测和处理缺失值、异常值、重复值的常用方法</w:t>
      </w:r>
    </w:p>
    <w:p>
      <w:pPr>
        <w:spacing w:line="360" w:lineRule="auto"/>
      </w:pPr>
      <w:r>
        <w:rPr>
          <w:rFonts w:eastAsia="宋体"/>
          <w:sz w:val="24"/>
        </w:rPr>
        <w:t>3. 学会使用 matplotlib 绘制基本统计图表，并进行数据分析</w:t>
      </w:r>
    </w:p>
    <w:p>
      <w:pPr>
        <w:pStyle w:val="Heading1"/>
      </w:pPr>
      <w:r>
        <w:rPr>
          <w:rFonts w:eastAsia="黑体"/>
          <w:b/>
          <w:sz w:val="32"/>
        </w:rPr>
        <w:t>2 实验内容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本实验使用 Kaggle 信贷数据集（银行坏账.csv，共 150000 行 6 列），围绕数据读取、查询、统计、清洗与可视化五个任务展开，重点比较正常客户与坏账客户的特征差异。</w:t>
      </w:r>
    </w:p>
    <w:p>
      <w:pPr>
        <w:pStyle w:val="Heading2"/>
      </w:pPr>
      <w:r>
        <w:rPr>
          <w:rFonts w:eastAsia="黑体"/>
          <w:b/>
          <w:sz w:val="28"/>
        </w:rPr>
        <w:t>3.1 数据读取与清洗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312"/>
      </w:tblGrid>
      <w:tr>
        <w:tc>
          <w:tcPr>
            <w:tcW w:type="dxa" w:w="8312"/>
            <w:tcBorders>
              <w:top w:val="single" w:sz="4" w:color="000000" w:space="0"/>
              <w:left w:val="single" w:sz="4" w:color="000000" w:space="0"/>
              <w:bottom w:val="single" w:sz="4" w:color="000000" w:space="0"/>
              <w:right w:val="single" w:sz="4" w:color="000000" w:space="0"/>
            </w:tcBorders>
            <w:shd w:val="clear" w:fill="F2F2F2"/>
          </w:tcPr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pd.read_csv("银行坏账.csv", encoding="gbk")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feat_cols = ["年龄", "负债率", "月收入", "家属数量"]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df.drop_duplicates(subset=feat_cols, keep="first")</w:t>
            </w:r>
          </w:p>
          <w:p>
            <w:pPr>
              <w:spacing w:line="240" w:lineRule="auto"/>
            </w:pPr>
            <w:r>
              <w:rPr>
                <w:rFonts w:ascii="Consolas" w:hAnsi="Consolas"/>
                <w:sz w:val="21"/>
              </w:rPr>
              <w:t>df = df.dropna(subset=["月收入"])</w:t>
            </w:r>
          </w:p>
        </w:tc>
      </w:tr>
    </w:tbl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清洗流程与行数对照如下表所示，重复值以四个客户特征列判断，共删除 4100 行；月收入缺失占 17.9% 直接删行，家属数量以中位数填充。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 w:space="0"/>
          <w:bottom w:val="single" w:sz="6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步骤</w:t>
            </w:r>
          </w:p>
        </w:tc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剩余行数</w:t>
            </w:r>
          </w:p>
        </w:tc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本步删掉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原始读取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150000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—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去重（按客户特征列）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145900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4100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删月收入缺失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119762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26138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年龄 20~80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116675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3087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负债率 ≤1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109576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7099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月收入 IQR 法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104881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4695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表1 数据清洗流程对照</w:t>
      </w:r>
    </w:p>
    <w:p>
      <w:pPr>
        <w:pStyle w:val="Heading2"/>
      </w:pPr>
      <w:r>
        <w:rPr>
          <w:rFonts w:eastAsia="黑体"/>
          <w:b/>
          <w:sz w:val="28"/>
        </w:rPr>
        <w:t>3.2 数据统计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年龄均值 52.3、中位数 52.0、标准差 14.77，最大 109、最小 0 属异常；好坏客户计数 139974:10026，坏账占比约 7%，类别不均衡；分组统计显示坏账客户平均年龄更小（45.9&lt;52.8）、平均月收入更低（5631&lt;6748）。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color="000000" w:space="0"/>
          <w:bottom w:val="single" w:sz="6" w:color="000000" w:space="0"/>
          <w:left w:val="nil" w:color="000000" w:space="0"/>
          <w:right w:val="nil" w:color="000000" w:space="0"/>
          <w:insideH w:val="nil" w:color="000000" w:space="0"/>
          <w:insideV w:val="nil" w:color="000000" w:space="0"/>
        </w:tblBorders>
      </w:tblPr>
      <w:tblGrid>
        <w:gridCol w:w="2771"/>
        <w:gridCol w:w="2771"/>
        <w:gridCol w:w="2771"/>
      </w:tblGrid>
      <w:tr>
        <w:trPr>
          <w:cantSplit/>
          <w:tblHeader/>
        </w:trPr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列</w:t>
            </w:r>
          </w:p>
        </w:tc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缺失数</w:t>
            </w:r>
          </w:p>
        </w:tc>
        <w:tc>
          <w:tcPr>
            <w:tcW w:type="dxa" w:w="2771"/>
            <w:tcBorders>
              <w:bottom w:val="single" w:sz="4" w:color="000000" w:space="0"/>
            </w:tcBorders>
          </w:tcPr>
          <w:p>
            <w:pPr>
              <w:jc w:val="center"/>
            </w:pPr>
            <w:r/>
            <w:r>
              <w:rPr>
                <w:rFonts w:eastAsia="宋体"/>
                <w:b/>
                <w:sz w:val="21"/>
              </w:rPr>
              <w:t>处理方法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月收入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26138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删除该行（缺失约 18%，关键列）</w:t>
            </w:r>
          </w:p>
        </w:tc>
      </w:tr>
      <w:tr>
        <w:trPr>
          <w:cantSplit/>
        </w:trPr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家属数量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3380</w:t>
            </w:r>
          </w:p>
        </w:tc>
        <w:tc>
          <w:tcPr>
            <w:tcW w:type="dxa" w:w="2771"/>
          </w:tcPr>
          <w:p>
            <w:pPr>
              <w:jc w:val="center"/>
            </w:pPr>
            <w:r/>
            <w:r>
              <w:rPr>
                <w:rFonts w:eastAsia="宋体"/>
                <w:sz w:val="21"/>
              </w:rPr>
              <w:t>中位数填充（缺失仅 2.3%）</w:t>
            </w:r>
          </w:p>
        </w:tc>
      </w:tr>
    </w:tbl>
    <w:p>
      <w:pPr>
        <w:jc w:val="center"/>
      </w:pPr>
      <w:r>
        <w:rPr>
          <w:rFonts w:eastAsia="宋体"/>
          <w:b w:val="0"/>
          <w:sz w:val="21"/>
        </w:rPr>
        <w:t>表2 缺失值处理方案</w:t>
      </w:r>
    </w:p>
    <w:p>
      <w:pPr>
        <w:tabs>
          <w:tab w:val="center" w:pos="5953"/>
          <w:tab w:val="right" w:pos="11107"/>
        </w:tabs>
      </w:pPr>
      <m:oMath>
        <m:r>
          <w:rPr>
            <w:rFonts w:ascii="Cambria Math" w:hAnsi="Cambria Math"/>
            <w:sz w:val="24"/>
          </w:rPr>
          <m:t>IQR=Q3−Q1, 正常范围=[Q1−1.5IQR, Q3+1.5IQR]</m:t>
        </m:r>
      </m:oMath>
      <w:r>
        <w:rPr>
          <w:sz w:val="24"/>
        </w:rPr>
        <w:tab/>
        <w:t>(1)</w:t>
      </w:r>
    </w:p>
    <w:p>
      <w:pPr>
        <w:pStyle w:val="Heading2"/>
      </w:pPr>
      <w:r>
        <w:rPr>
          <w:rFonts w:eastAsia="黑体"/>
          <w:b/>
          <w:sz w:val="28"/>
        </w:rPr>
        <w:t>3.3 数据可视化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图1-1 信用好客户约 93%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图1结论：信用好客户约 93%，坏账约 7%，属类别不均衡数据。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图1-2 坏账率随年龄单调下降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图2结论：坏账率随年龄单调下降，20~33 岁最高约 11.1%，68~80 岁最低约 2.6%。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0085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fig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0085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21"/>
        </w:rPr>
        <w:t>图1-3 坏账客户月收入中位数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图3结论：坏账客户月收入中位数 4540 低于好客户 5525，收入越低越易坏账。</w:t>
      </w:r>
    </w:p>
    <w:p>
      <w:pPr>
        <w:pStyle w:val="Heading1"/>
      </w:pPr>
      <w:r>
        <w:rPr>
          <w:rFonts w:eastAsia="黑体"/>
          <w:b/>
          <w:sz w:val="32"/>
        </w:rPr>
        <w:t>4 实验结论</w:t>
      </w:r>
    </w:p>
    <w:p>
      <w:pPr>
        <w:spacing w:line="360" w:lineRule="auto"/>
        <w:jc w:val="both"/>
        <w:ind w:firstLineChars="200"/>
      </w:pPr>
      <w:r>
        <w:rPr>
          <w:rFonts w:eastAsia="宋体"/>
          <w:sz w:val="24"/>
        </w:rPr>
        <w:t>本实验完整走通了数据清洗流程，150000 行数据最终保留 104881 行；发现坏账客户呈现年轻化、低收入特征，为后续建模提供了方向。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