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数据挖掘与应用课程实验报告——实验一 金融坏账数据预处理和可视化</w:t>
      </w:r>
    </w:p>
    <w:p>
      <w:pPr>
        <w:pStyle w:val="Heading1"/>
      </w:pPr>
      <w:r>
        <w:rPr>
          <w:rFonts w:eastAsia="黑体"/>
          <w:b/>
          <w:sz w:val="32"/>
        </w:rPr>
        <w:t>一、实验目的</w:t>
      </w:r>
    </w:p>
    <w:p>
      <w:pPr>
        <w:spacing w:line="360" w:lineRule="auto"/>
      </w:pPr>
      <w:r>
        <w:rPr>
          <w:rFonts w:eastAsia="宋体"/>
          <w:sz w:val="24"/>
        </w:rPr>
        <w:t>1. 掌握使用 pandas 进行数据加载、初步探索与清洗的完整流程</w:t>
      </w:r>
    </w:p>
    <w:p>
      <w:pPr>
        <w:spacing w:line="360" w:lineRule="auto"/>
      </w:pPr>
      <w:r>
        <w:rPr>
          <w:rFonts w:eastAsia="宋体"/>
          <w:sz w:val="24"/>
        </w:rPr>
        <w:t>2. 掌握检测和处理缺失值、异常值、重复值的常用方法</w:t>
      </w:r>
    </w:p>
    <w:p>
      <w:pPr>
        <w:spacing w:line="360" w:lineRule="auto"/>
      </w:pPr>
      <w:r>
        <w:rPr>
          <w:rFonts w:eastAsia="宋体"/>
          <w:sz w:val="24"/>
        </w:rPr>
        <w:t>3. 学会使用 matplotlib 绘制基本统计图表，并进行数据分析</w:t>
      </w:r>
    </w:p>
    <w:p>
      <w:pPr>
        <w:pStyle w:val="Heading1"/>
      </w:pPr>
      <w:r>
        <w:rPr>
          <w:rFonts w:eastAsia="黑体"/>
          <w:b/>
          <w:sz w:val="32"/>
        </w:rPr>
        <w:t>二、实验内容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</w:pPr>
      <w:r>
        <w:rPr>
          <w:rFonts w:eastAsia="黑体"/>
          <w:b/>
          <w:sz w:val="28"/>
        </w:rPr>
        <w:t>数据读取与清洗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fill="F2F2F2"/>
          </w:tcPr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pd.read_csv("银行坏账.csv", encoding="gbk")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feat_cols = ["年龄", "负债率", "月收入", "家属数量"]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df.drop_duplicates(subset=feat_cols, keep="first")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df.dropna(subset=["月收入"])</w:t>
            </w:r>
          </w:p>
        </w:tc>
      </w:tr>
    </w:tbl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步骤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剩余行数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150000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145900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4100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119762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116675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3087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109576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7099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104881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表1：数据清洗流程对照</w:t>
      </w:r>
    </w:p>
    <w:p>
      <w:pPr>
        <w:pStyle w:val="Heading2"/>
      </w:pPr>
      <w:r>
        <w:rPr>
          <w:rFonts w:eastAsia="黑体"/>
          <w:b/>
          <w:sz w:val="28"/>
        </w:rPr>
        <w:t>数据统计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列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缺失数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3380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表2：缺失值处理方案</w:t>
      </w:r>
    </w:p>
    <w:p>
      <w:pPr>
        <w:pStyle w:val="Heading2"/>
      </w:pPr>
      <w:r>
        <w:rPr>
          <w:rFonts w:eastAsia="黑体"/>
          <w:b/>
          <w:sz w:val="28"/>
        </w:rPr>
        <w:t>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图1：信用好客户约 93%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图2：坏账率随年龄单调下降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图3：坏账客户月收入中位数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图3结论：坏账客户月收入中位数 4540 低于好客户 5525，收入越低越易坏账。</w:t>
      </w:r>
    </w:p>
    <w:p>
      <w:pPr>
        <w:pStyle w:val="Heading1"/>
      </w:pPr>
      <w:r>
        <w:rPr>
          <w:rFonts w:eastAsia="黑体"/>
          <w:b/>
          <w:sz w:val="32"/>
        </w:rPr>
        <w:t>四、实验结论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