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b/>
          <w:sz w:val="24"/>
          <w:szCs w:val="24"/>
        </w:rPr>
        <w:t>数据挖掘与应用课程实验报告——实验一 金融坏账数据预处理和可视化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1 实验目的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1. 掌握使用 pandas 进行数据加载、初步探索与清洗的完整流程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2. 掌握检测和处理缺失值、异常值、重复值的常用方法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3. 学会使用 matplotlib 绘制基本统计图表，并进行数据分析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2 实验内容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2.1 数据读取与清洗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fill="F2F2F2"/>
          </w:tcPr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pd.read_csv("银行坏账.csv", encoding="gbk")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feat_cols = ["年龄", "负债率", "月收入", "家属数量"]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df.drop_duplicates(subset=feat_cols, keep="first")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df.dropna(subset=["月收入"])</w:t>
            </w:r>
          </w:p>
        </w:tc>
      </w:tr>
    </w:tbl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清洗流程与行数对照如下表所示，重复值以四个客户特征列判断，共删除 4100 行；月收入缺失占 17.9% 直接删行，家属数量以中位数填充。</w:t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表2-1 数据清洗流程对照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步骤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剩余行数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原始读取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150000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—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145900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4100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119762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26138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年龄 20~80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116675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3087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109576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7099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104881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4695</w:t>
            </w:r>
          </w:p>
        </w:tc>
      </w:tr>
    </w:tbl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2.2 数据统计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表2-2 缺失值处理方案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列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缺失数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月收入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26138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家属数量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3380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中位数填充（缺失仅 2.3%）</w:t>
            </w:r>
          </w:p>
        </w:tc>
      </w:tr>
    </w:tbl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2.3 数据可视化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图2-1 信用好客户约 93%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图2-1结论：信用好客户约 93%，坏账约 7%，属类别不均衡数据。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图2-2 坏账率随年龄单调下降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图2-2结论：坏账率随年龄单调下降，20~33 岁最高约 11.1%，68~80 岁最低约 2.6%。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图2-3 坏账客户月收入中位数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图2-3结论：坏账客户月收入中位数 4540 低于好客户 5525，收入越低越易坏账。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3 实验结论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7" w:h="16840"/>
      <w:pgMar w:top="1418" w:right="1701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4"/>
        <w:szCs w:val="24"/>
      </w:rPr>
    </w:rPr>
    <w:pPr>
      <w:jc w:val="right"/>
      <w:spacing w:line="360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360" w:lineRule="auto"/>
      <w:outlineLvl w:val="0"/>
      <w:jc w:val="left"/>
    </w:pPr>
    <w:rPr>
      <w:rPr>
        <w:rFonts w:ascii="Times New Roman" w:hAnsi="Times New Roman" w:eastAsia="宋体"/>
        <w:b/>
        <w:bCs/>
        <w:sz w:val="36"/>
        <w:szCs w:val="36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60" w:line="360" w:lineRule="auto"/>
      <w:outlineLvl w:val="1"/>
      <w:jc w:val="left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415" w:lineRule="auto"/>
      <w:outlineLvl w:val="2"/>
    </w:pPr>
    <w:rPr>
      <w:rPr>
        <w:rFonts w:ascii="Times New Roman" w:hAnsi="Times New Roman" w:eastAsia="黑体"/>
        <w:b/>
        <w:bCs/>
        <w:sz w:val="24"/>
        <w:szCs w:val="24"/>
      </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