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</w:pPr>
      <w:r>
        <w:rPr>
          <w:rFonts w:eastAsia="黑体"/>
          <w:b/>
          <w:bCs/>
          <w:sz w:val="30"/>
          <w:szCs w:val="30"/>
        </w:rPr>
        <w:t>一、 第1部分</w:t>
      </w:r>
    </w:p>
    <w:p>
      <w:pPr>
        <w:spacing w:line="276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 流程</w:t>
      </w:r>
    </w:p>
    <w:p>
      <w:pPr>
        <w:pStyle w:val="Heading2"/>
        <w:keepNext/>
      </w:pPr>
      <w:r>
        <w:rPr>
          <w:rFonts w:eastAsia="黑体"/>
          <w:b/>
          <w:bCs/>
          <w:sz w:val="30"/>
          <w:szCs w:val="30"/>
        </w:rPr>
        <w:t>二、 第2部分</w:t>
      </w:r>
    </w:p>
    <w:p>
      <w:pPr>
        <w:spacing w:line="276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 流程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276" w:lineRule="auto"/>
      <w:outlineLvl w:val="1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00" w:line="276" w:lineRule="auto"/>
      <w:outlineLvl w:val="2"/>
    </w:pPr>
    <w:rPr>
      <w:rPr>
        <w:rFonts w:eastAsia="黑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