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黑体"/>
          <w:b/>
          <w:sz w:val="30"/>
        </w:rPr>
        <w:t>一、研究内容</w:t>
      </w:r>
    </w:p>
    <w:p>
      <w:r>
        <w:rPr>
          <w:rFonts w:eastAsia="黑体"/>
          <w:b/>
          <w:sz w:val="28"/>
        </w:rPr>
        <w:t>（一）细分方向</w:t>
      </w:r>
    </w:p>
    <w:p>
      <w:pPr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流程</w:t>
      </w:r>
    </w:p>
    <w:p>
      <w:r>
        <w:rPr>
          <w:rFonts w:eastAsia="黑体"/>
          <w:b/>
          <w:sz w:val="30"/>
        </w:rPr>
        <w:t>二、研究内容</w:t>
      </w:r>
    </w:p>
    <w:p>
      <w:r>
        <w:rPr>
          <w:rFonts w:eastAsia="黑体"/>
          <w:b/>
          <w:sz w:val="28"/>
        </w:rPr>
        <w:t>（一）细分方向</w:t>
      </w:r>
    </w:p>
    <w:p>
      <w:pPr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流程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