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2 模型推导</w:t>
      </w:r>
    </w:p>
    <w:p>
      <w:pPr>
        <w:tabs>
          <w:tab w:val="center" w:pos="5953"/>
          <w:tab w:val="right" w:pos="11107"/>
        </w:tabs>
      </w:pPr>
      <m:oMathPara>
        <m:oMath>
          <m:r>
            <w:rPr>
              <w:rFonts w:ascii="Cambria Math" w:hAnsi="Cambria Math"/>
              <w:sz w:val="24"/>
            </w:rPr>
            <m:t>E_1=mc^2</m:t>
          </m:r>
        </m:oMath>
      </m:oMathPara>
      <w:r>
        <w:rPr>
          <w:sz w:val="24"/>
        </w:rPr>
        <w:tab/>
        <w:t>(2-1)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tabs>
          <w:tab w:val="center" w:pos="5953"/>
          <w:tab w:val="right" w:pos="11107"/>
        </w:tabs>
      </w:pPr>
      <m:oMathPara>
        <m:oMath>
          <m:r>
            <w:rPr>
              <w:rFonts w:ascii="Cambria Math" w:hAnsi="Cambria Math"/>
              <w:sz w:val="24"/>
            </w:rPr>
            <m:t>E_2=mc^2</m:t>
          </m:r>
        </m:oMath>
      </m:oMathPara>
      <w:r>
        <w:rPr>
          <w:sz w:val="24"/>
        </w:rPr>
        <w:tab/>
        <w:t>(2-2)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tabs>
          <w:tab w:val="center" w:pos="5953"/>
          <w:tab w:val="right" w:pos="11107"/>
        </w:tabs>
      </w:pPr>
      <m:oMathPara>
        <m:oMath>
          <m:r>
            <w:rPr>
              <w:rFonts w:ascii="Cambria Math" w:hAnsi="Cambria Math"/>
              <w:sz w:val="24"/>
            </w:rPr>
            <m:t>E_3=mc^2</m:t>
          </m:r>
        </m:oMath>
      </m:oMathPara>
      <w:r>
        <w:rPr>
          <w:sz w:val="24"/>
        </w:rPr>
        <w:tab/>
        <w:t>(2-3)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