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both"/>
      </w:pPr>
      <w:r>
        <w:rPr>
          <w:rFonts w:eastAsia="宋体"/>
          <w:b/>
          <w:sz w:val="24"/>
          <w:szCs w:val="24"/>
        </w:rPr>
        <w:t>系统建模研究（草稿）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第1部分研究内容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图 1：系统架构示意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表 1：参数设置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pPr/>
            <w:r>
              <w:rPr>
                <w:sz w:val="21"/>
              </w:rPr>
              <w:t>0.001</w:t>
            </w:r>
          </w:p>
        </w:tc>
      </w:tr>
    </w:tbl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2 第2部分研究内容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图 2：系统架构示意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表 2：参数设置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pPr/>
            <w:r>
              <w:rPr>
                <w:sz w:val="21"/>
              </w:rPr>
              <w:t>0.001</w:t>
            </w:r>
          </w:p>
        </w:tc>
      </w:tr>
    </w:tbl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276" w:lineRule="auto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7" w:h="16840"/>
      <w:pgMar w:top="1701" w:right="1418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