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黑体"/>
          <w:b/>
          <w:sz w:val="30"/>
        </w:rPr>
        <w:t>1 实验部分</w:t>
      </w:r>
    </w:p>
    <w:p>
      <w:pPr>
        <w:jc w:val="center"/>
      </w:pPr>
      <w:r>
        <w:rPr>
          <w:rFonts w:eastAsia="宋体"/>
          <w:b w:val="0"/>
          <w:sz w:val="21"/>
        </w:rPr>
        <w:t>表1 多方法对比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 w:space="0"/>
          <w:bottom w:val="single" w:sz="12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指标</w:t>
            </w:r>
          </w:p>
        </w:tc>
        <w:tc>
          <w:tcPr>
            <w:tcW w:type="dxa" w:w="5542"/>
            <w:gridSpan w:val="2"/>
            <w:tcBorders>
              <w:bottom w:val="single" w:sz="6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本文方法</w:t>
            </w:r>
          </w:p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对比方法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精确率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0.91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0.85</w:t>
            </w:r>
          </w:p>
        </w:tc>
      </w:tr>
    </w:tbl>
    <w:p>
      <w:r>
        <w:rPr>
          <w:rFonts w:eastAsia="宋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