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楷体"/>
          <w:b/>
          <w:sz w:val="30"/>
        </w:rPr>
        <w:t>一、描述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tabs>
          <w:tab w:val="center" w:pos="5953"/>
          <w:tab w:val="right" w:pos="11107"/>
        </w:tabs>
      </w:pPr>
      <m:oMath>
        <m:r>
          <w:rPr>
            <w:rFonts w:ascii="Cambria Math" w:hAnsi="Cambria Math"/>
            <w:sz w:val="24"/>
          </w:rPr>
          <m:t>a^2+b^2=c^2</m:t>
        </m:r>
      </m:oMath>
      <w:r>
        <w:rPr>
          <w:sz w:val="24"/>
        </w:rPr>
        <w:tab/>
        <w:t>(1)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