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2"/>
        </w:rPr>
        <w:t>第1章 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图1-1 结果图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图1-2 结果图</w:t>
      </w:r>
    </w:p>
    <w:p>
      <w:pPr>
        <w:ind w:firstLineChars="200"/>
      </w:pPr>
      <w:r>
        <w:rPr>
          <w:rFonts w:eastAsia="宋体"/>
          <w:sz w:val="24"/>
        </w:rPr>
        <w:t>实验结果表明（如图1-1所示），该方法显著优于基线，且如图1-1所见趋势一致。</w:t>
      </w:r>
    </w:p>
    <w:p>
      <w:pPr>
        <w:ind w:firstLineChars="200"/>
      </w:pPr>
      <w:r>
        <w:rPr>
          <w:rFonts w:eastAsia="宋体"/>
          <w:sz w:val="24"/>
        </w:rPr>
        <w:t>实验结果表明（如图1-2所示），该方法显著优于基线，且如图1-2所见趋势一致。</w:t>
      </w:r>
    </w:p>
    <w:p>
      <w:pPr>
        <w:pStyle w:val="Heading1"/>
      </w:pPr>
      <w:r>
        <w:rPr>
          <w:rFonts w:eastAsia="黑体"/>
          <w:b/>
          <w:sz w:val="32"/>
        </w:rPr>
        <w:t>第2章 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图2-1 结果图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图2-2 结果图</w:t>
      </w:r>
    </w:p>
    <w:p>
      <w:pPr>
        <w:ind w:firstLineChars="200"/>
      </w:pPr>
      <w:r>
        <w:rPr>
          <w:rFonts w:eastAsia="宋体"/>
          <w:sz w:val="24"/>
        </w:rPr>
        <w:t>实验结果表明（如图2-1所示），该方法显著优于基线，且如图2-1所见趋势一致。</w:t>
      </w:r>
    </w:p>
    <w:p>
      <w:pPr>
        <w:ind w:firstLineChars="200"/>
      </w:pPr>
      <w:r>
        <w:rPr>
          <w:rFonts w:eastAsia="宋体"/>
          <w:sz w:val="24"/>
        </w:rPr>
        <w:t>实验结果表明（如图2-2所示），该方法显著优于基线，且如图2-2所见趋势一致。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