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44"/>
        </w:rPr>
        <w:t>基于深度学习的系统建模研究</w:t>
      </w:r>
    </w:p>
    <w:p>
      <w:p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eastAsia="黑体"/>
          <w:b/>
          <w:sz w:val="32"/>
        </w:rPr>
        <w:t>目 录</w:t>
      </w:r>
    </w:p>
    <w:p>
      <w:fldSimple w:instr=" TOC \o &quot;1-3&quot; \h \z \u ">
        <w:r>
          <w:t>（目录占位）</w:t>
        </w:r>
      </w:fldSimple>
    </w:p>
    <w:p>
      <w:pPr>
        <w:sectPr>
          <w:footerReference w:type="default" r:id="rId9"/>
          <w:pgSz w:w="11906" w:h="16838"/>
          <w:pgMar w:top="1440" w:right="1797" w:bottom="1440" w:left="1797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spacing w:line="360" w:lineRule="auto" w:before="480" w:after="360"/>
        <w:jc w:val="center"/>
      </w:pPr>
      <w:r>
        <w:rPr>
          <w:rFonts w:ascii="Times New Roman" w:hAnsi="Times New Roman" w:eastAsia="黑体"/>
          <w:b/>
          <w:sz w:val="32"/>
        </w:rPr>
        <w:t>第1章 绪论</w:t>
      </w:r>
    </w:p>
    <w:p>
      <w:pPr>
        <w:pStyle w:val="Heading2"/>
        <w:spacing w:line="360" w:lineRule="auto" w:before="260" w:after="260"/>
      </w:pPr>
      <w:r>
        <w:rPr>
          <w:rFonts w:ascii="Times New Roman" w:hAnsi="Times New Roman" w:eastAsia="黑体"/>
          <w:b/>
          <w:sz w:val="28"/>
        </w:rPr>
        <w:t>1.1 研究内容概述</w:t>
      </w:r>
    </w:p>
    <w:p>
      <w:pPr>
        <w:pStyle w:val="Heading3"/>
        <w:spacing w:line="360" w:lineRule="auto" w:before="260" w:after="120"/>
      </w:pPr>
      <w:r>
        <w:rPr>
          <w:rFonts w:ascii="Times New Roman" w:hAnsi="Times New Roman" w:eastAsia="黑体"/>
          <w:b/>
          <w:sz w:val="24"/>
        </w:rPr>
        <w:t>1.1.1 具体方法说明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 xml:space="preserve">图</w:t>
      </w:r>
      <w:fldSimple w:instr=" STYLEREF 1 \s ">
        <w:r>
          <w:rPr>
            <w:rFonts w:eastAsia="宋体"/>
            <w:sz w:val="21"/>
          </w:rPr>
          <w:t xml:space="preserve">1</w:t>
        </w:r>
      </w:fldSimple>
      <w:r>
        <w:rPr>
          <w:rFonts w:eastAsia="宋体"/>
          <w:sz w:val="21"/>
        </w:rPr>
        <w:t xml:space="preserve">-</w:t>
      </w:r>
      <w:fldSimple w:instr=" SEQ 图 \* ARABIC 1 ">
        <w:r>
          <w:rPr>
            <w:rFonts w:eastAsia="宋体"/>
            <w:sz w:val="21"/>
          </w:rPr>
          <w:t xml:space="preserve">1</w:t>
        </w:r>
      </w:fldSimple>
      <w:r>
        <w:rPr>
          <w:rFonts w:eastAsia="宋体"/>
          <w:sz w:val="21"/>
        </w:rPr>
        <w:t xml:space="preserve"> </w:t>
      </w:r>
      <w:r>
        <w:rPr>
          <w:rFonts w:eastAsia="宋体"/>
          <w:sz w:val="21"/>
        </w:rPr>
        <w:t xml:space="preserve">系统总体架构示意图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rPr>
          <w:rFonts w:eastAsia="宋体"/>
          <w:sz w:val="21"/>
          <w:b/>
        </w:rPr>
        <w:t xml:space="preserve">表</w:t>
      </w:r>
      <w:fldSimple w:instr=" STYLEREF 1 \s ">
        <w:r>
          <w:rPr>
            <w:rFonts w:eastAsia="宋体"/>
            <w:sz w:val="21"/>
            <w:b/>
          </w:rPr>
          <w:t xml:space="preserve">1</w:t>
        </w:r>
      </w:fldSimple>
      <w:r>
        <w:rPr>
          <w:rFonts w:eastAsia="宋体"/>
          <w:sz w:val="21"/>
          <w:b/>
        </w:rPr>
        <w:t xml:space="preserve">-</w:t>
      </w:r>
      <w:fldSimple w:instr=" SEQ 表 \* ARABIC 1 ">
        <w:r>
          <w:rPr>
            <w:rFonts w:eastAsia="宋体"/>
            <w:sz w:val="21"/>
            <w:b/>
          </w:rPr>
          <w:t xml:space="preserve">1</w:t>
        </w:r>
      </w:fldSimple>
      <w:r>
        <w:rPr>
          <w:rFonts w:eastAsia="宋体"/>
          <w:sz w:val="21"/>
          <w:b/>
        </w:rPr>
        <w:t xml:space="preserve"> </w:t>
      </w:r>
      <w:r>
        <w:rPr>
          <w:rFonts w:eastAsia="宋体"/>
          <w:sz w:val="21"/>
          <w:b/>
        </w:rPr>
        <w:t xml:space="preserve">实验参数设置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参数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取值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学习率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0.001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Adam 优化器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批大小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64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双向循环网络</w:t>
            </w:r>
          </w:p>
        </w:tc>
      </w:tr>
    </w:tbl>
    <w:p>
      <w:pPr>
        <w:tabs>
          <w:tab w:val="center" w:pos="5953"/>
          <w:tab w:val="right" w:pos="11107"/>
        </w:tabs>
      </w:pPr>
      <m:oMath>
        <m:r>
          <w:rPr>
            <w:rFonts w:ascii="Cambria Math" w:hAnsi="Cambria Math"/>
            <w:sz w:val="24"/>
          </w:rPr>
          <m:t>L(θ)=∑logp(y|x;θ)</m:t>
        </m:r>
      </m:oMath>
      <w:r>
        <w:rPr>
          <w:sz w:val="24"/>
        </w:rPr>
        <w:tab/>
        <w:t>(1-1)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pStyle w:val="Heading1"/>
        <w:spacing w:line="360" w:lineRule="auto" w:before="480" w:after="360"/>
        <w:jc w:val="center"/>
      </w:pPr>
      <w:r>
        <w:rPr>
          <w:rFonts w:ascii="Times New Roman" w:hAnsi="Times New Roman" w:eastAsia="黑体"/>
          <w:b/>
          <w:sz w:val="32"/>
        </w:rPr>
        <w:t>第2章 实验研究</w:t>
      </w:r>
    </w:p>
    <w:p>
      <w:pPr>
        <w:pStyle w:val="Heading2"/>
        <w:spacing w:line="360" w:lineRule="auto" w:before="260" w:after="260"/>
      </w:pPr>
      <w:r>
        <w:rPr>
          <w:rFonts w:ascii="Times New Roman" w:hAnsi="Times New Roman" w:eastAsia="黑体"/>
          <w:b/>
          <w:sz w:val="28"/>
        </w:rPr>
        <w:t>2.1 研究内容概述</w:t>
      </w:r>
    </w:p>
    <w:p>
      <w:pPr>
        <w:pStyle w:val="Heading3"/>
        <w:spacing w:line="360" w:lineRule="auto" w:before="260" w:after="120"/>
      </w:pPr>
      <w:r>
        <w:rPr>
          <w:rFonts w:ascii="Times New Roman" w:hAnsi="Times New Roman" w:eastAsia="黑体"/>
          <w:b/>
          <w:sz w:val="24"/>
        </w:rPr>
        <w:t>2.1.1 具体方法说明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 xml:space="preserve">图</w:t>
      </w:r>
      <w:fldSimple w:instr=" STYLEREF 1 \s ">
        <w:r>
          <w:rPr>
            <w:rFonts w:eastAsia="宋体"/>
            <w:sz w:val="21"/>
          </w:rPr>
          <w:t xml:space="preserve">2</w:t>
        </w:r>
      </w:fldSimple>
      <w:r>
        <w:rPr>
          <w:rFonts w:eastAsia="宋体"/>
          <w:sz w:val="21"/>
        </w:rPr>
        <w:t xml:space="preserve">-</w:t>
      </w:r>
      <w:fldSimple w:instr=" SEQ 图 \* ARABIC 1 ">
        <w:r>
          <w:rPr>
            <w:rFonts w:eastAsia="宋体"/>
            <w:sz w:val="21"/>
          </w:rPr>
          <w:t xml:space="preserve">1</w:t>
        </w:r>
      </w:fldSimple>
      <w:r>
        <w:rPr>
          <w:rFonts w:eastAsia="宋体"/>
          <w:sz w:val="21"/>
        </w:rPr>
        <w:t xml:space="preserve"> </w:t>
      </w:r>
      <w:r>
        <w:rPr>
          <w:rFonts w:eastAsia="宋体"/>
          <w:sz w:val="21"/>
        </w:rPr>
        <w:t xml:space="preserve">系统总体架构示意图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rPr>
          <w:rFonts w:eastAsia="宋体"/>
          <w:sz w:val="21"/>
          <w:b/>
        </w:rPr>
        <w:t xml:space="preserve">表</w:t>
      </w:r>
      <w:fldSimple w:instr=" STYLEREF 1 \s ">
        <w:r>
          <w:rPr>
            <w:rFonts w:eastAsia="宋体"/>
            <w:sz w:val="21"/>
            <w:b/>
          </w:rPr>
          <w:t xml:space="preserve">2</w:t>
        </w:r>
      </w:fldSimple>
      <w:r>
        <w:rPr>
          <w:rFonts w:eastAsia="宋体"/>
          <w:sz w:val="21"/>
          <w:b/>
        </w:rPr>
        <w:t xml:space="preserve">-</w:t>
      </w:r>
      <w:fldSimple w:instr=" SEQ 表 \* ARABIC 1 ">
        <w:r>
          <w:rPr>
            <w:rFonts w:eastAsia="宋体"/>
            <w:sz w:val="21"/>
            <w:b/>
          </w:rPr>
          <w:t xml:space="preserve">1</w:t>
        </w:r>
      </w:fldSimple>
      <w:r>
        <w:rPr>
          <w:rFonts w:eastAsia="宋体"/>
          <w:sz w:val="21"/>
          <w:b/>
        </w:rPr>
        <w:t xml:space="preserve"> </w:t>
      </w:r>
      <w:r>
        <w:rPr>
          <w:rFonts w:eastAsia="宋体"/>
          <w:sz w:val="21"/>
          <w:b/>
        </w:rPr>
        <w:t xml:space="preserve">实验参数设置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参数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取值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学习率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0.001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Adam 优化器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批大小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64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双向循环网络</w:t>
            </w:r>
          </w:p>
        </w:tc>
      </w:tr>
    </w:tbl>
    <w:p>
      <w:pPr>
        <w:tabs>
          <w:tab w:val="center" w:pos="5953"/>
          <w:tab w:val="right" w:pos="11107"/>
        </w:tabs>
      </w:pPr>
      <m:oMath>
        <m:r>
          <w:rPr>
            <w:rFonts w:ascii="Cambria Math" w:hAnsi="Cambria Math"/>
            <w:sz w:val="24"/>
          </w:rPr>
          <m:t>L(θ)=∑logp(y|x;θ)</m:t>
        </m:r>
      </m:oMath>
      <w:r>
        <w:rPr>
          <w:sz w:val="24"/>
        </w:rPr>
        <w:tab/>
        <w:t>(2-1)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pStyle w:val="Heading1"/>
        <w:spacing w:line="360" w:lineRule="auto" w:before="480" w:after="360"/>
        <w:jc w:val="center"/>
      </w:pPr>
      <w:r>
        <w:rPr>
          <w:rFonts w:ascii="Times New Roman" w:hAnsi="Times New Roman" w:eastAsia="黑体"/>
          <w:b/>
          <w:sz w:val="32"/>
        </w:rPr>
        <w:t>第3章 实验研究</w:t>
      </w:r>
    </w:p>
    <w:p>
      <w:pPr>
        <w:pStyle w:val="Heading2"/>
        <w:spacing w:line="360" w:lineRule="auto" w:before="260" w:after="260"/>
      </w:pPr>
      <w:r>
        <w:rPr>
          <w:rFonts w:ascii="Times New Roman" w:hAnsi="Times New Roman" w:eastAsia="黑体"/>
          <w:b/>
          <w:sz w:val="28"/>
        </w:rPr>
        <w:t>3.1 研究内容概述</w:t>
      </w:r>
    </w:p>
    <w:p>
      <w:pPr>
        <w:pStyle w:val="Heading3"/>
        <w:spacing w:line="360" w:lineRule="auto" w:before="260" w:after="120"/>
      </w:pPr>
      <w:r>
        <w:rPr>
          <w:rFonts w:ascii="Times New Roman" w:hAnsi="Times New Roman" w:eastAsia="黑体"/>
          <w:b/>
          <w:sz w:val="24"/>
        </w:rPr>
        <w:t>3.1.1 具体方法说明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21"/>
        </w:rPr>
        <w:t xml:space="preserve">图</w:t>
      </w:r>
      <w:fldSimple w:instr=" STYLEREF 1 \s ">
        <w:r>
          <w:rPr>
            <w:rFonts w:eastAsia="宋体"/>
            <w:sz w:val="21"/>
          </w:rPr>
          <w:t xml:space="preserve">3</w:t>
        </w:r>
      </w:fldSimple>
      <w:r>
        <w:rPr>
          <w:rFonts w:eastAsia="宋体"/>
          <w:sz w:val="21"/>
        </w:rPr>
        <w:t xml:space="preserve">-</w:t>
      </w:r>
      <w:fldSimple w:instr=" SEQ 图 \* ARABIC 1 ">
        <w:r>
          <w:rPr>
            <w:rFonts w:eastAsia="宋体"/>
            <w:sz w:val="21"/>
          </w:rPr>
          <w:t xml:space="preserve">1</w:t>
        </w:r>
      </w:fldSimple>
      <w:r>
        <w:rPr>
          <w:rFonts w:eastAsia="宋体"/>
          <w:sz w:val="21"/>
        </w:rPr>
        <w:t xml:space="preserve"> </w:t>
      </w:r>
      <w:r>
        <w:rPr>
          <w:rFonts w:eastAsia="宋体"/>
          <w:sz w:val="21"/>
        </w:rPr>
        <w:t xml:space="preserve">系统总体架构示意图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rPr>
          <w:rFonts w:eastAsia="宋体"/>
          <w:sz w:val="21"/>
          <w:b/>
        </w:rPr>
        <w:t xml:space="preserve">表</w:t>
      </w:r>
      <w:fldSimple w:instr=" STYLEREF 1 \s ">
        <w:r>
          <w:rPr>
            <w:rFonts w:eastAsia="宋体"/>
            <w:sz w:val="21"/>
            <w:b/>
          </w:rPr>
          <w:t xml:space="preserve">3</w:t>
        </w:r>
      </w:fldSimple>
      <w:r>
        <w:rPr>
          <w:rFonts w:eastAsia="宋体"/>
          <w:sz w:val="21"/>
          <w:b/>
        </w:rPr>
        <w:t xml:space="preserve">-</w:t>
      </w:r>
      <w:fldSimple w:instr=" SEQ 表 \* ARABIC 1 ">
        <w:r>
          <w:rPr>
            <w:rFonts w:eastAsia="宋体"/>
            <w:sz w:val="21"/>
            <w:b/>
          </w:rPr>
          <w:t xml:space="preserve">1</w:t>
        </w:r>
      </w:fldSimple>
      <w:r>
        <w:rPr>
          <w:rFonts w:eastAsia="宋体"/>
          <w:sz w:val="21"/>
          <w:b/>
        </w:rPr>
        <w:t xml:space="preserve"> </w:t>
      </w:r>
      <w:r>
        <w:rPr>
          <w:rFonts w:eastAsia="宋体"/>
          <w:sz w:val="21"/>
          <w:b/>
        </w:rPr>
        <w:t xml:space="preserve">实验参数设置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参数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取值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学习率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0.001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Adam 优化器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批大小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64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双向循环网络</w:t>
            </w:r>
          </w:p>
        </w:tc>
      </w:tr>
    </w:tbl>
    <w:p>
      <w:pPr>
        <w:tabs>
          <w:tab w:val="center" w:pos="5953"/>
          <w:tab w:val="right" w:pos="11107"/>
        </w:tabs>
      </w:pPr>
      <m:oMath>
        <m:r>
          <w:rPr>
            <w:rFonts w:ascii="Cambria Math" w:hAnsi="Cambria Math"/>
            <w:sz w:val="24"/>
          </w:rPr>
          <m:t>L(θ)=∑logp(y|x;θ)</m:t>
        </m:r>
      </m:oMath>
      <w:r>
        <w:rPr>
          <w:sz w:val="24"/>
        </w:rPr>
        <w:tab/>
        <w:t>(3-1)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pStyle w:val="Heading1"/>
        <w:jc w:val="center"/>
      </w:pPr>
      <w:r>
        <w:rPr>
          <w:rFonts w:eastAsia="黑体"/>
          <w:b/>
          <w:sz w:val="32"/>
        </w:rPr>
        <w:t>参考文献</w:t>
      </w:r>
    </w:p>
    <w:p>
      <w:pPr>
        <w:ind w:hangingChars="200"/>
      </w:pPr>
      <w:r>
        <w:rPr>
          <w:rFonts w:eastAsia="宋体"/>
          <w:sz w:val="21"/>
        </w:rPr>
        <w:t>[1] 张三, 李四. 深度学习方法研究[J]. 计算机学报, 2024, 47(2): 1-15.</w:t>
      </w:r>
    </w:p>
    <w:p>
      <w:pPr>
        <w:ind w:hangingChars="200"/>
      </w:pPr>
      <w:r>
        <w:rPr>
          <w:rFonts w:eastAsia="宋体"/>
          <w:sz w:val="21"/>
        </w:rPr>
        <w:t>[2] 张三, 李四. 深度学习方法研究[J]. 计算机学报, 2024, 47(2): 1-15.</w:t>
      </w:r>
    </w:p>
    <w:p>
      <w:pPr>
        <w:ind w:hangingChars="200"/>
      </w:pPr>
      <w:r>
        <w:rPr>
          <w:rFonts w:eastAsia="宋体"/>
          <w:sz w:val="21"/>
        </w:rPr>
        <w:t>[3] 张三, 李四. 深度学习方法研究[J]. 计算机学报, 2024, 47(2): 1-15.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fill="F2F2F2"/>
          </w:tcPr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import torch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model = Model(depth=6)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loss = model.fit(data)  # 训练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/>
        <w:sz w:val="18"/>
      </w:rPr>
    </w:r>
    <w:fldSimple w:instr=" PAGE \* roman \* MERGEFORMAT ">
      <w:r>
        <w:t>i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/>
        <w:sz w:val="18"/>
      </w:rPr>
    </w:r>
    <w:fldSimple w:instr=" PAGE \* arabic \* MERGEFORMAT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