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Microsoft YaHei" w:hAnsi="Microsoft YaHei"/>
          <w:b/>
          <w:color w:val="1F4E79"/>
          <w:sz w:val="40"/>
        </w:rPr>
        <w:t>运行环境（信创基线）</w:t>
      </w:r>
    </w:p>
    <w:p>
      <w:pPr>
        <w:spacing w:after="480"/>
        <w:jc w:val="center"/>
      </w:pPr>
      <w:r>
        <w:rPr>
          <w:rFonts w:ascii="Microsoft YaHei" w:hAnsi="Microsoft YaHei"/>
          <w:color w:val="595959"/>
          <w:sz w:val="22"/>
        </w:rPr>
        <w:t>“简阅”系统底层软硬件支撑基线规范</w:t>
      </w:r>
    </w:p>
    <w:p>
      <w:pPr>
        <w:spacing w:before="280" w:after="120"/>
      </w:pPr>
      <w:r>
        <w:rPr>
          <w:rFonts w:ascii="Microsoft YaHei" w:hAnsi="Microsoft YaHei"/>
          <w:b/>
          <w:color w:val="1F4E79"/>
          <w:sz w:val="28"/>
        </w:rPr>
        <w:t>一、 运行环境信创基线表</w:t>
      </w:r>
    </w:p>
    <w:p>
      <w:pPr>
        <w:spacing w:line="276" w:lineRule="auto" w:after="120"/>
      </w:pPr>
      <w:r>
        <w:rPr>
          <w:rFonts w:ascii="SimSun" w:hAnsi="SimSun"/>
          <w:sz w:val="21"/>
        </w:rPr>
        <w:t>本系统完全适配并部署在以下信创标准化运行基线之上，屏蔽了底层异构算力和系统平台的差异，确保系统的高度自主安全与可控制性。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1"/>
              </w:rPr>
              <w:t>版本/规格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服务器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鲲鹏TaiShan 200 (ARM64)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国产化硬件基线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虚拟化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FusionCompute 8.x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集群统一管理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虚拟机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2vCPU/4GB/40GB系统盘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openEuler 22.03 LTS SP2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容器引擎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Docker CE 24.x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systemd自启动、日志轮转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编排工具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Docker Compose v2.20+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容器统一编排管理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数据库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MySQL 8.0.x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2F5F9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数据持久化存储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反向代理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Nginx 1.24.x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SimSun" w:hAnsi="SimSun"/>
                <w:sz w:val="20"/>
              </w:rPr>
              <w:t>HTTPS加密、请求转发</w:t>
            </w:r>
          </w:p>
        </w:tc>
      </w:tr>
    </w:tbl>
    <w:p>
      <w:pPr>
        <w:spacing w:before="280" w:after="120"/>
      </w:pPr>
      <w:r>
        <w:rPr>
          <w:rFonts w:ascii="Microsoft YaHei" w:hAnsi="Microsoft YaHei"/>
          <w:b/>
          <w:color w:val="1F4E79"/>
          <w:sz w:val="28"/>
        </w:rPr>
        <w:t>二、 “简阅”项目软硬件基线对应及映射解析</w:t>
      </w:r>
    </w:p>
    <w:p>
      <w:pPr>
        <w:spacing w:line="276" w:lineRule="auto" w:after="120"/>
      </w:pPr>
      <w:r>
        <w:rPr>
          <w:rFonts w:ascii="SimSun" w:hAnsi="SimSun"/>
          <w:sz w:val="21"/>
        </w:rPr>
        <w:t>为了使“简阅” (Yue) 系统在实际部署中达到上述信创生产基线要求，各组件在项目中的映射落地关系设计如下：</w:t>
      </w:r>
    </w:p>
    <w:p>
      <w:pPr>
        <w:spacing w:line="276" w:lineRule="auto" w:after="120"/>
      </w:pPr>
      <w:r>
        <w:rPr>
          <w:rFonts w:ascii="SimSun" w:hAnsi="SimSun"/>
          <w:b/>
          <w:sz w:val="21"/>
        </w:rPr>
        <w:t>1. 服务器 (鲲鹏TaiShan 200)：</w:t>
      </w:r>
      <w:r>
        <w:rPr>
          <w:rFonts w:ascii="SimSun" w:hAnsi="SimSun"/>
          <w:sz w:val="21"/>
        </w:rPr>
        <w:t>基于华为自研鲲鹏 920 处理器。系统的后端基础镜像选用标准多架构支持的 `python:3.12-slim`，在物理装机和编译构建阶段完美兼容 ARM64 (aarch64) 指令集，充分释放多核算力。</w:t>
      </w:r>
    </w:p>
    <w:p>
      <w:pPr>
        <w:spacing w:line="276" w:lineRule="auto" w:after="120"/>
      </w:pPr>
      <w:r>
        <w:rPr>
          <w:rFonts w:ascii="SimSun" w:hAnsi="SimSun"/>
          <w:b/>
          <w:sz w:val="21"/>
        </w:rPr>
        <w:t>2. 虚拟机与国产系统 (openEuler)：</w:t>
      </w:r>
      <w:r>
        <w:rPr>
          <w:rFonts w:ascii="SimSun" w:hAnsi="SimSun"/>
          <w:sz w:val="21"/>
        </w:rPr>
        <w:t>运行于华为 FusionCompute 虚拟机中，配额为 2核CPU / 4GB内存 / 40GB系统盘。操作系统搭载 openEuler 22.03 LTS SP2。该系统提供了企业级的高安全内核、国密算法硬件加速支持，作为容器引擎的稳定宿主。</w:t>
      </w:r>
    </w:p>
    <w:p>
      <w:pPr>
        <w:spacing w:line="276" w:lineRule="auto" w:after="120"/>
      </w:pPr>
      <w:r>
        <w:rPr>
          <w:rFonts w:ascii="SimSun" w:hAnsi="SimSun"/>
          <w:b/>
          <w:sz w:val="21"/>
        </w:rPr>
        <w:t>3. 容器引擎与自启动 (Docker CE 24.x)：</w:t>
      </w:r>
      <w:r>
        <w:rPr>
          <w:rFonts w:ascii="SimSun" w:hAnsi="SimSun"/>
          <w:sz w:val="21"/>
        </w:rPr>
        <w:t>虚拟机配置 Docker CE 24.x。生产部署中，容器开启 systemd 自启动。同时在 Docker 的 `/etc/docker/daemon.json` 中配置日志轮转限制（`max-size: "10m"`, `max-file: "3"`），防止日志无限增长撑爆 40GB 虚拟机系统盘。</w:t>
      </w:r>
    </w:p>
    <w:p>
      <w:pPr>
        <w:spacing w:line="276" w:lineRule="auto" w:after="120"/>
      </w:pPr>
      <w:r>
        <w:rPr>
          <w:rFonts w:ascii="SimSun" w:hAnsi="SimSun"/>
          <w:b/>
          <w:sz w:val="21"/>
        </w:rPr>
        <w:t>4. 编排工具 (Docker Compose)：</w:t>
      </w:r>
      <w:r>
        <w:rPr>
          <w:rFonts w:ascii="SimSun" w:hAnsi="SimSun"/>
          <w:sz w:val="21"/>
        </w:rPr>
        <w:t>应用使用 `@/docker-compose.yml` (Version "3.7") 统一编排。一键部署脚本 `@/ops/deploy_yue.sh` 自动调用 `docker-compose up -d --build` 构建并拉起 `yue-app` 容器，映射物理卷与内部网络，保障服务自愈启动与零配置部署。</w:t>
      </w:r>
    </w:p>
    <w:p>
      <w:pPr>
        <w:spacing w:line="276" w:lineRule="auto" w:after="120"/>
      </w:pPr>
      <w:r>
        <w:rPr>
          <w:rFonts w:ascii="SimSun" w:hAnsi="SimSun"/>
          <w:b/>
          <w:sz w:val="21"/>
        </w:rPr>
        <w:t>5. 数据库 (MySQL 8.0.x 与 SQLite)：</w:t>
      </w:r>
      <w:r>
        <w:rPr>
          <w:rFonts w:ascii="SimSun" w:hAnsi="SimSun"/>
          <w:sz w:val="21"/>
        </w:rPr>
        <w:t>项目当前默认使用轻量级、零配置的嵌入式 **SQLite 3.x** 数据库，将 `yue.db` 文件存放于数据卷 `yue_data`（映射至容器 `/app/data/`）中进行持久化存储。由于项目后端采用标准 `SQLAlchemy ORM` 兼容层开发，如需无缝切换为信创标准 **MySQL 8.0.x**（或国产达梦、GaussDB），只需在 `docker-compose` 环境变量中修改 `DATABASE_URL` 数据库连接串即可，无需更改任何业务代码。</w:t>
      </w:r>
    </w:p>
    <w:p>
      <w:pPr>
        <w:spacing w:line="276" w:lineRule="auto" w:after="120"/>
      </w:pPr>
      <w:r>
        <w:rPr>
          <w:rFonts w:ascii="SimSun" w:hAnsi="SimSun"/>
          <w:b/>
          <w:sz w:val="21"/>
        </w:rPr>
        <w:t>6. 反向代理与网络防护 (Nginx 1.24.x)：</w:t>
      </w:r>
      <w:r>
        <w:rPr>
          <w:rFonts w:ascii="SimSun" w:hAnsi="SimSun"/>
          <w:sz w:val="21"/>
        </w:rPr>
        <w:t>Nginx 1.24.x 部署于宿主机最前端。暴露 80/443 端口，负责配置 SSL 证书对客户端传输内容进行 HTTPS 加密，并在内网通过反向代理将动态接口流量转发到 `yue-app` 容器的 `8000` 端口，实现安全物理网备防护。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8C8C8C"/>
        <w:sz w:val="18"/>
      </w:rPr>
      <w:t>第 5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/>
        <w:color w:val="8C8C8C"/>
        <w:sz w:val="17"/>
      </w:rPr>
      <w:t>“简阅”小说阅读平台项目技术文档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