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/>
          <w:color w:val="003366"/>
          <w:sz w:val="32"/>
        </w:rPr>
        <w:t>Metodologi Analisis Spasio-Temporal Deforestasi &amp; Kebakaran Hutan</w:t>
      </w:r>
    </w:p>
    <w:p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Wilayah Studi:</w:t>
      </w:r>
      <w:r>
        <w:rPr>
          <w:rFonts w:ascii="Times New Roman" w:hAnsi="Times New Roman"/>
          <w:sz w:val="22"/>
        </w:rPr>
        <w:t xml:space="preserve"> Provinsi Jambi, Indonesia  </w:t>
        <w:br/>
      </w:r>
      <w:r>
        <w:rPr>
          <w:rFonts w:ascii="Times New Roman" w:hAnsi="Times New Roman"/>
          <w:b/>
          <w:sz w:val="22"/>
        </w:rPr>
        <w:t>Periode:</w:t>
      </w:r>
      <w:r>
        <w:rPr>
          <w:rFonts w:ascii="Times New Roman" w:hAnsi="Times New Roman"/>
          <w:sz w:val="22"/>
        </w:rPr>
        <w:t xml:space="preserve"> 2016–2025  </w:t>
        <w:br/>
      </w:r>
      <w:r>
        <w:rPr>
          <w:rFonts w:ascii="Times New Roman" w:hAnsi="Times New Roman"/>
          <w:b/>
          <w:sz w:val="22"/>
        </w:rPr>
        <w:t>Platform:</w:t>
      </w:r>
      <w:r>
        <w:rPr>
          <w:rFonts w:ascii="Times New Roman" w:hAnsi="Times New Roman"/>
          <w:sz w:val="22"/>
        </w:rPr>
        <w:t xml:space="preserve"> Google Earth Engine (GEE)</w:t>
      </w:r>
    </w:p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Times New Roman" w:hAnsi="Times New Roman"/>
          <w:color w:val="003366"/>
        </w:rPr>
        <w:t>1. Data yang Digunakan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8"/>
              </w:rPr>
              <w:t>Data</w:t>
            </w:r>
          </w:p>
        </w:tc>
        <w:tc>
          <w:tcPr>
            <w:tcW w:type="dxa" w:w="1824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8"/>
              </w:rPr>
              <w:t>Sumber (GEE Collection ID)</w:t>
            </w:r>
          </w:p>
        </w:tc>
        <w:tc>
          <w:tcPr>
            <w:tcW w:type="dxa" w:w="1824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8"/>
              </w:rPr>
              <w:t>Resolusi Spasial</w:t>
            </w:r>
          </w:p>
        </w:tc>
        <w:tc>
          <w:tcPr>
            <w:tcW w:type="dxa" w:w="1824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8"/>
              </w:rPr>
              <w:t>Periode</w:t>
            </w:r>
          </w:p>
        </w:tc>
        <w:tc>
          <w:tcPr>
            <w:tcW w:type="dxa" w:w="1824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8"/>
              </w:rPr>
              <w:t>Penggunaan</w:t>
            </w:r>
          </w:p>
        </w:tc>
      </w:tr>
      <w:tr>
        <w:tc>
          <w:tcPr>
            <w:tcW w:type="dxa" w:w="1824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  <w:t>Landsat 8/9 OLI Level-2</w:t>
            </w:r>
          </w:p>
        </w:tc>
        <w:tc>
          <w:tcPr>
            <w:tcW w:type="dxa" w:w="1824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Consolas" w:hAnsi="Consolas"/>
                <w:sz w:val="16"/>
              </w:rPr>
              <w:t>LANDSAT/LC08/C02/T1_L2</w:t>
            </w:r>
            <w:r>
              <w:rPr>
                <w:rFonts w:ascii="Times New Roman" w:hAnsi="Times New Roman"/>
                <w:sz w:val="18"/>
              </w:rPr>
              <w:t>&lt;br&gt;</w:t>
            </w:r>
            <w:r>
              <w:rPr>
                <w:rFonts w:ascii="Consolas" w:hAnsi="Consolas"/>
                <w:sz w:val="16"/>
              </w:rPr>
              <w:t>LANDSAT/LC09/C02/T1_L2</w:t>
            </w: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24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  <w:t>30 m</w:t>
            </w:r>
          </w:p>
        </w:tc>
        <w:tc>
          <w:tcPr>
            <w:tcW w:type="dxa" w:w="1824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  <w:t>2016–2025</w:t>
            </w:r>
          </w:p>
        </w:tc>
        <w:tc>
          <w:tcPr>
            <w:tcW w:type="dxa" w:w="1824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  <w:t>Komposit tahunan (RGB, NDVI, NBR)</w:t>
            </w:r>
          </w:p>
        </w:tc>
      </w:tr>
      <w:tr>
        <w:tc>
          <w:tcPr>
            <w:tcW w:type="dxa" w:w="1824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  <w:t>Sentinel-2 MSI Level-2A</w:t>
            </w:r>
          </w:p>
        </w:tc>
        <w:tc>
          <w:tcPr>
            <w:tcW w:type="dxa" w:w="1824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Consolas" w:hAnsi="Consolas"/>
                <w:sz w:val="16"/>
              </w:rPr>
              <w:t>COPERNICUS/S2_SR_HARMONIZED</w:t>
            </w: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24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  <w:t>20 m → 30 m</w:t>
            </w:r>
          </w:p>
        </w:tc>
        <w:tc>
          <w:tcPr>
            <w:tcW w:type="dxa" w:w="1824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sz w:val="18"/>
              </w:rPr>
              <w:t>2022–2025</w:t>
            </w: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24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  <w:t>Komposit tahunan (NDVI, NBR)</w:t>
            </w:r>
          </w:p>
        </w:tc>
      </w:tr>
      <w:tr>
        <w:tc>
          <w:tcPr>
            <w:tcW w:type="dxa" w:w="1824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  <w:t>MODIS MOD14A1</w:t>
            </w:r>
          </w:p>
        </w:tc>
        <w:tc>
          <w:tcPr>
            <w:tcW w:type="dxa" w:w="1824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Consolas" w:hAnsi="Consolas"/>
                <w:sz w:val="16"/>
              </w:rPr>
              <w:t>MODIS/061/MOD14A1</w:t>
            </w: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24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  <w:t>1000 m</w:t>
            </w:r>
          </w:p>
        </w:tc>
        <w:tc>
          <w:tcPr>
            <w:tcW w:type="dxa" w:w="1824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  <w:t>2016–2025</w:t>
            </w:r>
          </w:p>
        </w:tc>
        <w:tc>
          <w:tcPr>
            <w:tcW w:type="dxa" w:w="1824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  <w:t>Deteksi titik api (hotspot)</w:t>
            </w:r>
          </w:p>
        </w:tc>
      </w:tr>
      <w:tr>
        <w:tc>
          <w:tcPr>
            <w:tcW w:type="dxa" w:w="1824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  <w:t>MODIS MCD64A1</w:t>
            </w:r>
          </w:p>
        </w:tc>
        <w:tc>
          <w:tcPr>
            <w:tcW w:type="dxa" w:w="1824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Consolas" w:hAnsi="Consolas"/>
                <w:sz w:val="16"/>
              </w:rPr>
              <w:t>MODIS/061/MCD64A1</w:t>
            </w: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24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  <w:t>500 m</w:t>
            </w:r>
          </w:p>
        </w:tc>
        <w:tc>
          <w:tcPr>
            <w:tcW w:type="dxa" w:w="1824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  <w:t>2016–2025</w:t>
            </w:r>
          </w:p>
        </w:tc>
        <w:tc>
          <w:tcPr>
            <w:tcW w:type="dxa" w:w="1824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  <w:t>Validasi luas area terbakar</w:t>
            </w:r>
          </w:p>
        </w:tc>
      </w:tr>
      <w:tr>
        <w:tc>
          <w:tcPr>
            <w:tcW w:type="dxa" w:w="1824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  <w:t>Hansen Global Forest Change</w:t>
            </w:r>
          </w:p>
        </w:tc>
        <w:tc>
          <w:tcPr>
            <w:tcW w:type="dxa" w:w="1824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Consolas" w:hAnsi="Consolas"/>
                <w:sz w:val="16"/>
              </w:rPr>
              <w:t>UMD/hansen/global_forest_change_2025_v1_13</w:t>
            </w: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24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  <w:t>30 m</w:t>
            </w:r>
          </w:p>
        </w:tc>
        <w:tc>
          <w:tcPr>
            <w:tcW w:type="dxa" w:w="1824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  <w:t>2016–2025</w:t>
            </w:r>
          </w:p>
        </w:tc>
        <w:tc>
          <w:tcPr>
            <w:tcW w:type="dxa" w:w="1824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  <w:t>Validasi deforestasi (GFW)</w:t>
            </w:r>
          </w:p>
        </w:tc>
      </w:tr>
      <w:tr>
        <w:tc>
          <w:tcPr>
            <w:tcW w:type="dxa" w:w="1824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  <w:t>FAO GAUL 2015</w:t>
            </w:r>
          </w:p>
        </w:tc>
        <w:tc>
          <w:tcPr>
            <w:tcW w:type="dxa" w:w="1824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Consolas" w:hAnsi="Consolas"/>
                <w:sz w:val="16"/>
              </w:rPr>
              <w:t>FAO/GAUL/2015/level1</w:t>
            </w: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24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824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824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  <w:t>Batas administrasi Provinsi Jambi</w:t>
            </w:r>
          </w:p>
        </w:tc>
      </w:tr>
    </w:tbl>
    <w:p/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Times New Roman" w:hAnsi="Times New Roman"/>
          <w:color w:val="003366"/>
        </w:rPr>
        <w:t>2. Preprocessing Citra</w:t>
      </w:r>
    </w:p>
    <w:p>
      <w:pPr>
        <w:pStyle w:val="Heading3"/>
      </w:pPr>
      <w:r>
        <w:rPr>
          <w:rFonts w:ascii="Times New Roman" w:hAnsi="Times New Roman"/>
          <w:color w:val="003366"/>
        </w:rPr>
        <w:t>2.1 Landsat 8/9 (Collection 2, Tier 1, Level-2)</w:t>
      </w:r>
    </w:p>
    <w:p>
      <w:pPr>
        <w:pStyle w:val="ListNumber"/>
        <w:ind w:left="360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Cloud masking (QA_PIXEL):</w:t>
      </w:r>
      <w:r>
        <w:rPr>
          <w:rFonts w:ascii="Times New Roman" w:hAnsi="Times New Roman"/>
          <w:sz w:val="22"/>
        </w:rPr>
        <w:t xml:space="preserve"> Bitmask </w:t>
      </w:r>
      <w:r>
        <w:rPr>
          <w:rFonts w:ascii="Times New Roman" w:hAnsi="Times New Roman"/>
          <w:sz w:val="22"/>
        </w:rPr>
        <w:t>QA_PIXEL</w:t>
      </w:r>
      <w:r>
        <w:rPr>
          <w:rFonts w:ascii="Times New Roman" w:hAnsi="Times New Roman"/>
          <w:sz w:val="22"/>
        </w:rPr>
        <w:t xml:space="preserve"> digunakan untuk membuang piksel yang terklasifikasi sebagai *fill*, awan, bayangan awan, dan cirrus. Piksel dipertahankan hanya jika 5 bit pertama bernilai nol (</w:t>
      </w:r>
      <w:r>
        <w:rPr>
          <w:rFonts w:ascii="Times New Roman" w:hAnsi="Times New Roman"/>
          <w:sz w:val="22"/>
        </w:rPr>
        <w:t>bitwiseAnd(0b11111) == 0</w:t>
      </w:r>
      <w:r>
        <w:rPr>
          <w:rFonts w:ascii="Times New Roman" w:hAnsi="Times New Roman"/>
          <w:sz w:val="22"/>
        </w:rPr>
        <w:t>).</w:t>
      </w:r>
    </w:p>
    <w:p>
      <w:pPr>
        <w:pStyle w:val="ListNumber"/>
        <w:ind w:left="360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Rescaling:</w:t>
      </w:r>
      <w:r>
        <w:rPr>
          <w:rFonts w:ascii="Times New Roman" w:hAnsi="Times New Roman"/>
          <w:sz w:val="22"/>
        </w:rPr>
        <w:t xml:space="preserve"> Nilai DN (Digital Number) diskalakan ke reflektansi permukaan (*surface reflectance*) menggunakan koefisien standar Collection 2:</w:t>
      </w:r>
    </w:p>
    <w:p>
      <w:pPr>
        <w:pStyle w:val="ListNumber"/>
        <w:ind w:left="360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Blue Band Gating:</w:t>
      </w:r>
      <w:r>
        <w:rPr>
          <w:rFonts w:ascii="Times New Roman" w:hAnsi="Times New Roman"/>
          <w:sz w:val="22"/>
        </w:rPr>
        <w:t xml:space="preserve"> Reflektansi band biru (</w:t>
      </w:r>
      <w:r>
        <w:rPr>
          <w:rFonts w:ascii="Times New Roman" w:hAnsi="Times New Roman"/>
          <w:sz w:val="22"/>
        </w:rPr>
        <w:t>SR_B2</w:t>
      </w:r>
      <w:r>
        <w:rPr>
          <w:rFonts w:ascii="Times New Roman" w:hAnsi="Times New Roman"/>
          <w:sz w:val="22"/>
        </w:rPr>
        <w:t xml:space="preserve">) di-threshold pada </w:t>
      </w:r>
      <w:r>
        <w:rPr>
          <w:rFonts w:ascii="Times New Roman" w:hAnsi="Times New Roman"/>
          <w:b/>
          <w:sz w:val="22"/>
        </w:rPr>
        <w:t>0.20</w:t>
      </w:r>
      <w:r>
        <w:rPr>
          <w:rFonts w:ascii="Times New Roman" w:hAnsi="Times New Roman"/>
          <w:sz w:val="22"/>
        </w:rPr>
        <w:t xml:space="preserve">. Piksel dengan </w:t>
      </w:r>
      <w:r>
        <w:rPr>
          <w:rFonts w:ascii="Times New Roman" w:hAnsi="Times New Roman"/>
          <w:sz w:val="22"/>
        </w:rPr>
        <w:t>SR_B2 ≥ 0.20</w:t>
      </w:r>
      <w:r>
        <w:rPr>
          <w:rFonts w:ascii="Times New Roman" w:hAnsi="Times New Roman"/>
          <w:sz w:val="22"/>
        </w:rPr>
        <w:t xml:space="preserve"> dibuang. Teknik ini efektif menghilangkan sisa asap, kabut tipis, dan tepi awan yang lolos dari QA_PIXEL, khususnya di wilayah tropis dengan tutupan awan tinggi.</w:t>
      </w:r>
    </w:p>
    <w:p>
      <w:pPr>
        <w:pStyle w:val="Heading3"/>
      </w:pPr>
      <w:r>
        <w:rPr>
          <w:rFonts w:ascii="Times New Roman" w:hAnsi="Times New Roman"/>
          <w:color w:val="003366"/>
        </w:rPr>
        <w:t>2.2 Sentinel-2 MSI (Level-2A, Harmonized)</w:t>
      </w:r>
    </w:p>
    <w:p>
      <w:r>
        <w:rPr>
          <w:rFonts w:ascii="Times New Roman" w:hAnsi="Times New Roman"/>
          <w:sz w:val="22"/>
        </w:rPr>
        <w:t xml:space="preserve">Sentinel-2 hanya digunakan </w:t>
      </w:r>
      <w:r>
        <w:rPr>
          <w:rFonts w:ascii="Times New Roman" w:hAnsi="Times New Roman"/>
          <w:b/>
          <w:sz w:val="22"/>
        </w:rPr>
        <w:t>mulai tahun 2022 ke atas</w:t>
      </w:r>
      <w:r>
        <w:rPr>
          <w:rFonts w:ascii="Times New Roman" w:hAnsi="Times New Roman"/>
          <w:sz w:val="22"/>
        </w:rPr>
        <w:t xml:space="preserve">. European Space Agency (ESA) secara bertahap memperbarui algoritma Sen2Cor yang menghasilkan layer *Scene Classification* (SCL). Peningkatan signifikan terjadi pada </w:t>
      </w:r>
      <w:r>
        <w:rPr>
          <w:rFonts w:ascii="Times New Roman" w:hAnsi="Times New Roman"/>
          <w:b/>
          <w:sz w:val="22"/>
        </w:rPr>
        <w:t>Processing Baseline 04.00</w:t>
      </w:r>
      <w:r>
        <w:rPr>
          <w:rFonts w:ascii="Times New Roman" w:hAnsi="Times New Roman"/>
          <w:sz w:val="22"/>
        </w:rPr>
        <w:t xml:space="preserve"> (Januari 2022) yang memperbaiki akurasi klasifikasi awan, bayangan awan, dan cirrus di wilayah tropis. Data L2A pada periode 2017–2018 juga tidak memiliki cakupan global yang lengkap di GEE.</w:t>
      </w:r>
    </w:p>
    <w:p>
      <w:pPr>
        <w:pStyle w:val="ListNumber"/>
        <w:ind w:left="360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SCL whitelist (super ketat):</w:t>
      </w:r>
      <w:r>
        <w:rPr>
          <w:rFonts w:ascii="Times New Roman" w:hAnsi="Times New Roman"/>
          <w:sz w:val="22"/>
        </w:rPr>
        <w:t xml:space="preserve"> Hanya piksel yang terklasifikasi sebagai </w:t>
      </w:r>
      <w:r>
        <w:rPr>
          <w:rFonts w:ascii="Times New Roman" w:hAnsi="Times New Roman"/>
          <w:b/>
          <w:sz w:val="22"/>
        </w:rPr>
        <w:t>Vegetasi (4)</w:t>
      </w:r>
      <w:r>
        <w:rPr>
          <w:rFonts w:ascii="Times New Roman" w:hAnsi="Times New Roman"/>
          <w:sz w:val="22"/>
        </w:rPr>
        <w:t xml:space="preserve"> atau </w:t>
      </w:r>
      <w:r>
        <w:rPr>
          <w:rFonts w:ascii="Times New Roman" w:hAnsi="Times New Roman"/>
          <w:b/>
          <w:sz w:val="22"/>
        </w:rPr>
        <w:t>Bare Soil (5)</w:t>
      </w:r>
      <w:r>
        <w:rPr>
          <w:rFonts w:ascii="Times New Roman" w:hAnsi="Times New Roman"/>
          <w:sz w:val="22"/>
        </w:rPr>
        <w:t xml:space="preserve"> oleh SCL yang dipertahankan. Semua kelas lain — termasuk bayangan awan (3), dark area (2), air (6), awan rendah/sedang/tinggi (7–9), dan cirrus (10) — dibuang.</w:t>
      </w:r>
    </w:p>
    <w:p>
      <w:pPr>
        <w:pStyle w:val="ListNumber"/>
        <w:ind w:left="360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Rescaling &amp; harmonisasi band:</w:t>
      </w:r>
      <w:r>
        <w:rPr>
          <w:rFonts w:ascii="Times New Roman" w:hAnsi="Times New Roman"/>
          <w:sz w:val="22"/>
        </w:rPr>
        <w:t xml:space="preserve"> Sentinel-2 L2A menyimpan reflektansi dalam skala 10000. Band di-rescale (</w:t>
      </w:r>
      <w:r>
        <w:rPr>
          <w:rFonts w:ascii="Times New Roman" w:hAnsi="Times New Roman"/>
          <w:sz w:val="22"/>
        </w:rPr>
        <w:t>DN / 10000</w:t>
      </w:r>
      <w:r>
        <w:rPr>
          <w:rFonts w:ascii="Times New Roman" w:hAnsi="Times New Roman"/>
          <w:sz w:val="22"/>
        </w:rPr>
        <w:t>) dan di-rename agar sesuai dengan penamaan Landsat:</w:t>
      </w:r>
    </w:p>
    <w:p>
      <w:pPr>
        <w:pStyle w:val="ListNumber"/>
        <w:ind w:left="360"/>
      </w:pPr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Blue Band Gating:</w:t>
      </w:r>
      <w:r>
        <w:rPr>
          <w:rFonts w:ascii="Times New Roman" w:hAnsi="Times New Roman"/>
          <w:sz w:val="22"/>
        </w:rPr>
        <w:t xml:space="preserve"> Sama dengan Landsat — </w:t>
      </w:r>
      <w:r>
        <w:rPr>
          <w:rFonts w:ascii="Times New Roman" w:hAnsi="Times New Roman"/>
          <w:sz w:val="22"/>
        </w:rPr>
        <w:t>SR_B2 &lt; 0.20</w:t>
      </w:r>
      <w:r>
        <w:rPr>
          <w:rFonts w:ascii="Times New Roman" w:hAnsi="Times New Roman"/>
          <w:sz w:val="22"/>
        </w:rPr>
        <w:t xml:space="preserve"> untuk membersihkan tepi awan residual dan kabut tipis.</w:t>
      </w:r>
    </w:p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Times New Roman" w:hAnsi="Times New Roman"/>
          <w:color w:val="003366"/>
        </w:rPr>
        <w:t>3. Tahap 1: Komposit Citra Tahunan</w:t>
      </w:r>
    </w:p>
    <w:p>
      <w:pPr>
        <w:pStyle w:val="Heading3"/>
      </w:pPr>
      <w:r>
        <w:rPr>
          <w:rFonts w:ascii="Times New Roman" w:hAnsi="Times New Roman"/>
          <w:color w:val="003366"/>
        </w:rPr>
        <w:t>3.1 Strategi Hybrid Sensor</w:t>
      </w:r>
    </w:p>
    <w:p>
      <w:r>
        <w:rPr>
          <w:rFonts w:ascii="Times New Roman" w:hAnsi="Times New Roman"/>
          <w:sz w:val="22"/>
        </w:rPr>
        <w:t>Komposit tahunan dibangun dengan pendekatan sensor hibrida: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8"/>
              </w:rPr>
              <w:t>Periode</w:t>
            </w:r>
          </w:p>
        </w:tc>
        <w:tc>
          <w:tcPr>
            <w:tcW w:type="dxa" w:w="4561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8"/>
              </w:rPr>
              <w:t>Sensor Digunakan</w:t>
            </w:r>
          </w:p>
        </w:tc>
      </w:tr>
      <w:tr>
        <w:tc>
          <w:tcPr>
            <w:tcW w:type="dxa" w:w="4561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  <w:t>2016–2021</w:t>
            </w:r>
          </w:p>
        </w:tc>
        <w:tc>
          <w:tcPr>
            <w:tcW w:type="dxa" w:w="4561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  <w:t>Landsat 8/9 saja</w:t>
            </w:r>
          </w:p>
        </w:tc>
      </w:tr>
      <w:tr>
        <w:tc>
          <w:tcPr>
            <w:tcW w:type="dxa" w:w="4561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  <w:t>2022–2025</w:t>
            </w:r>
          </w:p>
        </w:tc>
        <w:tc>
          <w:tcPr>
            <w:tcW w:type="dxa" w:w="4561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  <w:t>Landsat 8/9 + Sentinel-2</w:t>
            </w:r>
          </w:p>
        </w:tc>
      </w:tr>
    </w:tbl>
    <w:p/>
    <w:p>
      <w:r>
        <w:rPr>
          <w:rFonts w:ascii="Times New Roman" w:hAnsi="Times New Roman"/>
          <w:sz w:val="22"/>
        </w:rPr>
        <w:t xml:space="preserve">Untuk setiap tahun, seluruh citra yang lolos preprocessing digabung dan dihitung </w:t>
      </w:r>
      <w:r>
        <w:rPr>
          <w:rFonts w:ascii="Times New Roman" w:hAnsi="Times New Roman"/>
          <w:b/>
          <w:sz w:val="22"/>
        </w:rPr>
        <w:t>median</w:t>
      </w:r>
      <w:r>
        <w:rPr>
          <w:rFonts w:ascii="Times New Roman" w:hAnsi="Times New Roman"/>
          <w:sz w:val="22"/>
        </w:rPr>
        <w:t xml:space="preserve">-nya, menghasilkan satu citra komposit tahunan dengan band: </w:t>
      </w:r>
      <w:r>
        <w:rPr>
          <w:rFonts w:ascii="Times New Roman" w:hAnsi="Times New Roman"/>
          <w:sz w:val="22"/>
        </w:rPr>
        <w:t>SR_B2, SR_B3, SR_B4, SR_B5, SR_B7, NDVI, NBR</w:t>
      </w:r>
      <w:r>
        <w:rPr>
          <w:rFonts w:ascii="Times New Roman" w:hAnsi="Times New Roman"/>
          <w:sz w:val="22"/>
        </w:rPr>
        <w:t>.</w:t>
      </w:r>
    </w:p>
    <w:p>
      <w:pPr>
        <w:pStyle w:val="Heading3"/>
      </w:pPr>
      <w:r>
        <w:rPr>
          <w:rFonts w:ascii="Times New Roman" w:hAnsi="Times New Roman"/>
          <w:color w:val="003366"/>
        </w:rPr>
        <w:t>3.2 Indeks Spektral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8"/>
              </w:rPr>
              <w:t>Indeks</w:t>
            </w:r>
          </w:p>
        </w:tc>
        <w:tc>
          <w:tcPr>
            <w:tcW w:type="dxa" w:w="2280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8"/>
              </w:rPr>
              <w:t>Rumus</w:t>
            </w:r>
          </w:p>
        </w:tc>
        <w:tc>
          <w:tcPr>
            <w:tcW w:type="dxa" w:w="2280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8"/>
              </w:rPr>
              <w:t>Band</w:t>
            </w:r>
          </w:p>
        </w:tc>
        <w:tc>
          <w:tcPr>
            <w:tcW w:type="dxa" w:w="2280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18"/>
              </w:rPr>
              <w:t>Fungsi</w:t>
            </w:r>
          </w:p>
        </w:tc>
      </w:tr>
      <w:tr>
        <w:tc>
          <w:tcPr>
            <w:tcW w:type="dxa" w:w="2280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  <w:t>NDVI</w:t>
            </w:r>
          </w:p>
        </w:tc>
        <w:tc>
          <w:tcPr>
            <w:tcW w:type="dxa" w:w="2280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  <w:t>(NIR − Red) / (NIR + Red)</w:t>
            </w:r>
          </w:p>
        </w:tc>
        <w:tc>
          <w:tcPr>
            <w:tcW w:type="dxa" w:w="2280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  <w:t>NIR=SR_B5, Red=SR_B4</w:t>
            </w:r>
          </w:p>
        </w:tc>
        <w:tc>
          <w:tcPr>
            <w:tcW w:type="dxa" w:w="2280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  <w:t>Deteksi kesehatan vegetasi</w:t>
            </w:r>
          </w:p>
        </w:tc>
      </w:tr>
      <w:tr>
        <w:tc>
          <w:tcPr>
            <w:tcW w:type="dxa" w:w="2280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  <w:t>NBR</w:t>
            </w:r>
          </w:p>
        </w:tc>
        <w:tc>
          <w:tcPr>
            <w:tcW w:type="dxa" w:w="2280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  <w:t>(NIR − SWIR1) / (NIR + SWIR1)</w:t>
            </w:r>
          </w:p>
        </w:tc>
        <w:tc>
          <w:tcPr>
            <w:tcW w:type="dxa" w:w="2280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  <w:t>NIR=SR_B5, SWIR1=SR_B7</w:t>
            </w:r>
          </w:p>
        </w:tc>
        <w:tc>
          <w:tcPr>
            <w:tcW w:type="dxa" w:w="2280"/>
          </w:tcPr>
          <w:p>
            <w:pPr>
              <w:spacing w:after="20" w:before="20"/>
            </w:pPr>
            <w:r>
              <w:rPr>
                <w:rFonts w:ascii="Times New Roman" w:hAnsi="Times New Roman"/>
                <w:sz w:val="18"/>
              </w:rPr>
              <w:t>Deteksi area terbakar</w:t>
            </w:r>
          </w:p>
        </w:tc>
      </w:tr>
    </w:tbl>
    <w:p/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Times New Roman" w:hAnsi="Times New Roman"/>
          <w:color w:val="003366"/>
        </w:rPr>
        <w:t>4. Tahap 2: Pemetaan Deforestasi</w:t>
      </w:r>
    </w:p>
    <w:p>
      <w:pPr>
        <w:pStyle w:val="Heading3"/>
      </w:pPr>
      <w:r>
        <w:rPr>
          <w:rFonts w:ascii="Times New Roman" w:hAnsi="Times New Roman"/>
          <w:color w:val="003366"/>
        </w:rPr>
        <w:t>4.1 Deteksi Perubahan NDVI</w:t>
      </w:r>
    </w:p>
    <w:p>
      <w:r>
        <w:rPr>
          <w:rFonts w:ascii="Times New Roman" w:hAnsi="Times New Roman"/>
          <w:sz w:val="22"/>
        </w:rPr>
        <w:t>Deforestasi dideteksi melalui penurunan NDVI antar dua tahun berturut-turut: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dengan syarat awal: `NDVI(t) &gt; 0.3` (memastikan piksel merupakan area bervegetasi pada tahun awal).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### 4.2 Validasi dengan Hansen Global Forest Change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Hasil deforestasi berbasis NDVI divalidasi secara spasial dengan data Hansen *Global Forest Change* (GFW). Piksel *loss* GFW pada tahun *t+1* (lossyear = t − 1999) di-overlay dengan peta deforestasi NDVI untuk menghitung: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- Luas deforestasi GFW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- Luas deforestasi NDVI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- Luas *overlap* (kesepakatan spasial kedua metode)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---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## 5. Tahap 3: Kejadian Api dan Tingkat Keparahan Terbakar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### 5.1 Deteksi Titik Api (Hotspot)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- **Sumber:** MODIS MOD14A1 — produk anomali termal harian pada resolusi 1000 m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- **Threshold:** Piksel dengan `FireMask ≥ 7` (mencakup *low confidence*, *nominal confidence*, dan *high confidence* fire)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- **Agregasi tahunan:** Seluruh deteksi dalam satu tahun dijumlahkan per piksel → *hotspot density*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- **Binary detection:** Keluaran akhir adalah peta biner `hotspot.gt(0)` — piksel 1 km yang terdeteksi api minimal satu kali dalam setahun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- **Jumlah hotspot:** Dihitung sebagai jumlah piksel 1 km yang terdeteksi api, konsisten dengan analisis binary di Tahap 4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### 5.2 Tingkat Keparahan Terbakar (Burn Severity — dNBR)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- **Rumus:** `dNBR = NBR(t) − NBR(t+1)` — selisih NBR sebelum dan sesudah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- **Klasifikasi USGS:** Nilai dNBR diklasifikasikan berdasarkan standar *United States Geological Survey*: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| dNBR Range | Kelas Severity | Kode |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|---|---|---|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| &lt; 0.1 | Unburned / Enhanced | 0 |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| 0.10 – 0.27 | Low Severity | 1 |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| 0.27 – 0.44 | Moderate Severity | 2 |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| 0.44 – 0.66 | Moderate-High Severity | 3 |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| &gt; 0.66 | High Severity | 4 |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- **Threshold operasional:** Severity **≥ 2** (Moderate ke atas) digunakan sebagai batas minimum area yang dianggap terbakar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- **Validasi:** Dibandingkan dengan produk *burned area* MODIS MCD64A1 (resolusi 500 m) melalui overlay spasial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---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## 6. Tahap 4: Analisis Hubungan Spasial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### 6.1 Buffer Hotspot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Peta biner hotspot di-buffer sejauh **1000 m** menggunakan `focal_max`:</w:t>
      </w:r>
    </w:p>
    <w:p>
      <w:r>
        <w:rPr>
          <w:rFonts w:ascii="Times New Roman" w:hAnsi="Times New Roman"/>
          <w:sz w:val="22"/>
        </w:rPr>
        <w:t>Fungsi buffer menutupi *offset* spasial antara resolusi deteksi MODIS (1000 m) dengan resolusi citra komposit (30 m). Setiap piksel 30 m dalam radius 1 km dari titik deteksi MODIS ditandai sebagai area yang terpengaruh aktivitas api.</w:t>
      </w:r>
    </w:p>
    <w:p>
      <w:pPr>
        <w:pStyle w:val="Heading3"/>
      </w:pPr>
      <w:r>
        <w:rPr>
          <w:rFonts w:ascii="Times New Roman" w:hAnsi="Times New Roman"/>
          <w:color w:val="003366"/>
        </w:rPr>
        <w:t>6.2 Klasifikasi Tipe Pembukaan Lahan (AND Logic)</w:t>
      </w:r>
    </w:p>
    <w:p>
      <w:r>
        <w:rPr>
          <w:rFonts w:ascii="Times New Roman" w:hAnsi="Times New Roman"/>
          <w:sz w:val="22"/>
        </w:rPr>
        <w:t xml:space="preserve">Metode </w:t>
      </w:r>
      <w:r>
        <w:rPr>
          <w:rFonts w:ascii="Times New Roman" w:hAnsi="Times New Roman"/>
          <w:b/>
          <w:sz w:val="22"/>
        </w:rPr>
        <w:t>AND logic</w:t>
      </w:r>
      <w:r>
        <w:rPr>
          <w:rFonts w:ascii="Times New Roman" w:hAnsi="Times New Roman"/>
          <w:sz w:val="22"/>
        </w:rPr>
        <w:t xml:space="preserve"> digunakan untuk mengklasifikasikan deforestasi menjadi dua tipe: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| Tipe | Simbol | Artinya |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|---|---|---|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| Burning Clearing (1) | 🔴 | Pembukaan lahan dengan bukti api (burn severity + hotspot) |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| Mechanical Clearing (2) | 🟠 | Pembukaan lahan tanpa bukti api (alat berat, herbisida, dll.) |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Pendekatan **AND** dipilih karena mensyaratkan kehadiran **kedua bukti** (dNBR ≥ moderate **dan** hotspot dalam 1 km), sehingga mengurangi *false positive* dari tanah terbuka (*bare soil*) setelah *mechanical clearing* yang dapat menghasilkan sinyal dNBR menyerupai area terbakar.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### 6.3 Spatial Coupling Metrics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Dua metrik tambahan dihitung untuk mengukur keterkaitan spasial antara deforestasi, hotspot, dan *burn severity*: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| Metrik | Rumus | Makna |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|---|---|---|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| **% Deforestasi dalam Hotspot** | `Area_Defor_in_Hotspot / Area_Total_Defor × 100` | Proporsi deforestasi yang berada dalam radius 1 km dari deteksi api |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| **% Deforestasi dengan Burn** | `Area_Defor_with_Burn / Area_Total_Defor × 100` | Proporsi deforestasi yang tumpang tindih dengan area terbakar moderate+ |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Perubahan kedua metrik ini dari waktu ke waktu menggambarkan **dinamika *spatial coupling*** antara aktivitas pembukaan lahan dan penggunaan api.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---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## 7. Output dan Ekspor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### 7.1 CSV Statistik (Google Drive)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| File | Kolom Utama | Tahap |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|---|---|---|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| `Task_Stats_Deforestasi_Drive.csv` | GFW_Loss, NDVI_Defor, Overlap | Tahap 2 — Validasi Deforestasi |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| `Task_Stats_Burn_Drive.csv` | dNBR_Area, MCD64_Area, Burn_Overlap | Tahap 3 — Validasi Burn |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| `Task_Stats_Hotspot_Count.csv` | hotspot_count | Tahap 3 — Jumlah hotspot per tahun |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| `Tahap4_Clearing_Transition_Stats.csv` | Area_Burning_ha, Area_Mechanical_ha, Area_Defor_in_Hotspot_ha, Area_Defor_with_Burn_ha | Tahap 4 — Spatial coupling |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### 7.2 Raster Assets (GEE)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| Asset | Isi | Penggunaan |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|---|---|---|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| `Deforestasi_YYYY` | Peta deforestasi biner | Input Tahap 4 |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| `BurnSeverity_YYYY` | Peta severity (1–4) + dNBR | Input Tahap 4 |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| `Hotspot_YYYY` | Peta densitas hotspot tahunan | Input Tahap 4 |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### 7.3 Peta GeoTIFF (Google Drive)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| File | Isi |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|---|---|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| `Tahap4_ClearingType_Map_YYYY` | Peta klasifikasi tipe pembukaan lahan (1=Mechanical, 2=Burning) |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---</w:t>
      </w:r>
    </w:p>
    <w:p>
      <w:pPr>
        <w:spacing w:after="0" w:before="0"/>
        <w:ind w:left="576"/>
      </w:pPr>
      <w:r>
        <w:rPr>
          <w:rFonts w:ascii="Consolas" w:hAnsi="Consolas"/>
          <w:color w:val="282828"/>
          <w:sz w:val="18"/>
        </w:rPr>
        <w:t>## 8. Ringkasan Alur Analisis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