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NurdleDNA: Results and Discussion</w:t>
      </w:r>
    </w:p>
    <w:p>
      <w:pPr>
        <w:jc w:val="center"/>
      </w:pPr>
      <w:r>
        <w:rPr>
          <w:i/>
          <w:color w:val="555555"/>
          <w:sz w:val="21"/>
        </w:rPr>
        <w:t>Section V — for insertion into the main journal manuscript</w:t>
      </w:r>
    </w:p>
    <w:p>
      <w:pPr>
        <w:spacing w:before="280" w:after="120"/>
        <w:jc w:val="center"/>
      </w:pPr>
      <w:r>
        <w:rPr>
          <w:rFonts w:ascii="Times New Roman" w:hAnsi="Times New Roman"/>
          <w:b/>
          <w:sz w:val="26"/>
        </w:rPr>
        <w:t>V. Results and Discussion</w:t>
      </w:r>
    </w:p>
    <w:p>
      <w:pPr>
        <w:ind w:firstLine="283"/>
        <w:jc w:val="both"/>
      </w:pPr>
      <w:r>
        <w:rPr>
          <w:rFonts w:ascii="Times New Roman" w:hAnsi="Times New Roman"/>
          <w:sz w:val="22"/>
        </w:rPr>
        <w:t>The following subsections evaluate each stage of the closed-loop Detect → Classify → Actuate → Capture → Report pipeline introduced in Section IV. The overall system architecture and physical partitioning are summarised in Fig. 1 for cross-reference.</w:t>
      </w:r>
    </w:p>
    <w:p>
      <w:pPr>
        <w:spacing w:before="160" w:after="40"/>
        <w:jc w:val="center"/>
      </w:pPr>
      <w:r>
        <w:drawing>
          <wp:inline xmlns:a="http://schemas.openxmlformats.org/drawingml/2006/main" xmlns:pic="http://schemas.openxmlformats.org/drawingml/2006/picture">
            <wp:extent cx="5943600" cy="4358170"/>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9"/>
                    <a:stretch>
                      <a:fillRect/>
                    </a:stretch>
                  </pic:blipFill>
                  <pic:spPr>
                    <a:xfrm>
                      <a:off x="0" y="0"/>
                      <a:ext cx="5943600" cy="4358170"/>
                    </a:xfrm>
                    <a:prstGeom prst="rect"/>
                  </pic:spPr>
                </pic:pic>
              </a:graphicData>
            </a:graphic>
          </wp:inline>
        </w:drawing>
      </w:r>
    </w:p>
    <w:p>
      <w:pPr>
        <w:spacing w:after="200"/>
        <w:jc w:val="center"/>
      </w:pPr>
      <w:r>
        <w:rPr>
          <w:rFonts w:ascii="Times New Roman" w:hAnsi="Times New Roman"/>
          <w:i/>
          <w:sz w:val="19"/>
        </w:rPr>
        <w:t>Fig. 1. System architecture of NurdleDNA showing the wet path (inline water flow with optical, gas, and gravimetric sensing) and the dry path (NVIDIA Jetson Nano running the deep-learning + OpenCV pipeline, Arduino Uno running the deterministic FSM, and the Firebase-backed audit dashboard).</w:t>
      </w:r>
    </w:p>
    <w:p>
      <w:pPr>
        <w:spacing w:before="200" w:after="120"/>
      </w:pPr>
      <w:r>
        <w:rPr>
          <w:rFonts w:ascii="Times New Roman" w:hAnsi="Times New Roman"/>
          <w:b/>
          <w:i/>
          <w:sz w:val="23"/>
        </w:rPr>
        <w:t>A. Detection Accuracy of the Edge Vision Pipeline</w:t>
      </w:r>
    </w:p>
    <w:p>
      <w:pPr>
        <w:ind w:firstLine="283"/>
        <w:jc w:val="both"/>
      </w:pPr>
      <w:r>
        <w:rPr>
          <w:rFonts w:ascii="Times New Roman" w:hAnsi="Times New Roman"/>
          <w:sz w:val="22"/>
        </w:rPr>
        <w:t>The YOLOv8n model trained on the Roboflow microplastics-t0ddd v6 dataset (3,102 images, 19 classes, 25 epochs, NVIDIA T4 GPU) achieved a mean Average Precision at IoU 0.50 (mAP@50) of 0.81 for synthetic pens, 0.75 for air bubbles, and 0.60 for fragments. The higher precision observed on pens and bubbles reflects their consistent geometric structure — bubbles are near-circular and pens exhibit distinct elongated cylindrical features — whereas fragments suffer from intra-class shape variability and visual overlap with biological debris in the training distribution. This skew is consistent with prior reports on YOLO-family models applied to microplastic imagery [12], where fragment-class performance has been a persistent limitation.</w:t>
      </w:r>
    </w:p>
    <w:p>
      <w:pPr>
        <w:ind w:firstLine="283"/>
        <w:jc w:val="both"/>
      </w:pPr>
      <w:r>
        <w:rPr>
          <w:rFonts w:ascii="Times New Roman" w:hAnsi="Times New Roman"/>
          <w:sz w:val="22"/>
        </w:rPr>
        <w:t>Importantly, the bubble class achieves 0.75 mAP, which is operationally significant: bubbles are the dominant source of optical false positives in inline flow cells, and a model that can label them with high confidence allows downstream filtering rather than confusing them with true nurdles. This pairs with the classical OpenCV HSV–contour safety net, which contributes redundancy when the deep model's confidence falls below threshold.</w:t>
      </w:r>
    </w:p>
    <w:p>
      <w:pPr>
        <w:spacing w:before="160" w:after="40"/>
        <w:jc w:val="center"/>
      </w:pPr>
      <w:r>
        <w:drawing>
          <wp:inline xmlns:a="http://schemas.openxmlformats.org/drawingml/2006/main" xmlns:pic="http://schemas.openxmlformats.org/drawingml/2006/picture">
            <wp:extent cx="5669280" cy="2152365"/>
            <wp:docPr id="2" name="Picture 2"/>
            <wp:cNvGraphicFramePr>
              <a:graphicFrameLocks noChangeAspect="1"/>
            </wp:cNvGraphicFramePr>
            <a:graphic>
              <a:graphicData uri="http://schemas.openxmlformats.org/drawingml/2006/picture">
                <pic:pic>
                  <pic:nvPicPr>
                    <pic:cNvPr id="0" name="fig5_training_curves.png"/>
                    <pic:cNvPicPr/>
                  </pic:nvPicPr>
                  <pic:blipFill>
                    <a:blip r:embed="rId10"/>
                    <a:stretch>
                      <a:fillRect/>
                    </a:stretch>
                  </pic:blipFill>
                  <pic:spPr>
                    <a:xfrm>
                      <a:off x="0" y="0"/>
                      <a:ext cx="5669280" cy="2152365"/>
                    </a:xfrm>
                    <a:prstGeom prst="rect"/>
                  </pic:spPr>
                </pic:pic>
              </a:graphicData>
            </a:graphic>
          </wp:inline>
        </w:drawing>
      </w:r>
    </w:p>
    <w:p>
      <w:pPr>
        <w:spacing w:after="200"/>
        <w:jc w:val="center"/>
      </w:pPr>
      <w:r>
        <w:rPr>
          <w:rFonts w:ascii="Times New Roman" w:hAnsi="Times New Roman"/>
          <w:i/>
          <w:sz w:val="19"/>
        </w:rPr>
        <w:t>Fig. 5. YOLOv8n training loss and validation metrics over 25 epochs on the Roboflow microplastics-t0ddd v6 dataset. Final mAP@50 ≈ 0.72.</w:t>
      </w:r>
    </w:p>
    <w:p>
      <w:pPr>
        <w:spacing w:before="160" w:after="40"/>
        <w:jc w:val="center"/>
      </w:pPr>
      <w:r>
        <w:drawing>
          <wp:inline xmlns:a="http://schemas.openxmlformats.org/drawingml/2006/main" xmlns:pic="http://schemas.openxmlformats.org/drawingml/2006/picture">
            <wp:extent cx="4389120" cy="3871204"/>
            <wp:docPr id="3" name="Picture 3"/>
            <wp:cNvGraphicFramePr>
              <a:graphicFrameLocks noChangeAspect="1"/>
            </wp:cNvGraphicFramePr>
            <a:graphic>
              <a:graphicData uri="http://schemas.openxmlformats.org/drawingml/2006/picture">
                <pic:pic>
                  <pic:nvPicPr>
                    <pic:cNvPr id="0" name="fig6_confusion_matrix.png"/>
                    <pic:cNvPicPr/>
                  </pic:nvPicPr>
                  <pic:blipFill>
                    <a:blip r:embed="rId11"/>
                    <a:stretch>
                      <a:fillRect/>
                    </a:stretch>
                  </pic:blipFill>
                  <pic:spPr>
                    <a:xfrm>
                      <a:off x="0" y="0"/>
                      <a:ext cx="4389120" cy="3871204"/>
                    </a:xfrm>
                    <a:prstGeom prst="rect"/>
                  </pic:spPr>
                </pic:pic>
              </a:graphicData>
            </a:graphic>
          </wp:inline>
        </w:drawing>
      </w:r>
    </w:p>
    <w:p>
      <w:pPr>
        <w:spacing w:after="200"/>
        <w:jc w:val="center"/>
      </w:pPr>
      <w:r>
        <w:rPr>
          <w:rFonts w:ascii="Times New Roman" w:hAnsi="Times New Roman"/>
          <w:i/>
          <w:sz w:val="19"/>
        </w:rPr>
        <w:t>Fig. 6. Normalised confusion matrix (consolidated 8-class view) showing strong diagonal recovery for nurdle (0.78), pen (0.81), and bubble (0.75) classes; fragment class shows the largest off-diagonal spread, primarily into nurdle and background.</w:t>
      </w:r>
    </w:p>
    <w:p>
      <w:pPr>
        <w:spacing w:before="200" w:after="40"/>
        <w:ind w:left="567" w:right="567"/>
        <w:jc w:val="center"/>
        <w:pBdr>
          <w:top w:val="single" w:sz="8" w:color="999999"/>
          <w:left w:val="single" w:sz="8" w:color="999999"/>
          <w:bottom w:val="single" w:sz="8" w:color="999999"/>
          <w:right w:val="single" w:sz="8" w:color="999999"/>
        </w:pBdr>
      </w:pPr>
      <w:r>
        <w:rPr>
          <w:b/>
          <w:color w:val="C0392B"/>
          <w:sz w:val="22"/>
        </w:rPr>
        <w:t>[ INSERT FIG. 7 — Sample detection frames HERE ]</w:t>
        <w:br/>
      </w:r>
      <w:r>
        <w:rPr>
          <w:i/>
          <w:color w:val="444444"/>
          <w:sz w:val="20"/>
        </w:rPr>
        <w:t>Four-panel image (suggested layout: 2×2 grid) showing (a) clean-water baseline, (b) air bubble correctly labelled as 'bubble', (c) nurdle correctly labelled with bounding box and confidence, (d) ambiguous fragment where the OpenCV HSV safety net fires below the YOLO confidence threshold. Source frames should be captured directly from the Jetson Nano dashboard during a bench run.</w:t>
      </w:r>
    </w:p>
    <w:p>
      <w:pPr>
        <w:spacing w:after="200"/>
        <w:jc w:val="center"/>
      </w:pPr>
      <w:r>
        <w:rPr>
          <w:rFonts w:ascii="Times New Roman" w:hAnsi="Times New Roman"/>
          <w:i/>
          <w:color w:val="555555"/>
          <w:sz w:val="19"/>
        </w:rPr>
        <w:t>Fig. 7. Representative detection outputs from the hybrid YOLOv8n + OpenCV pipeline. (a) clean baseline; (b) correctly rejected air bubble; (c) confirmed nurdle; (d) edge case where the classical safety net contributes redundancy.</w:t>
      </w:r>
    </w:p>
    <w:p>
      <w:pPr>
        <w:spacing w:before="200" w:after="120"/>
      </w:pPr>
      <w:r>
        <w:rPr>
          <w:rFonts w:ascii="Times New Roman" w:hAnsi="Times New Roman"/>
          <w:b/>
          <w:i/>
          <w:sz w:val="23"/>
        </w:rPr>
        <w:t>B. Edge Inference Efficiency</w:t>
      </w:r>
    </w:p>
    <w:p>
      <w:pPr>
        <w:ind w:firstLine="283"/>
        <w:jc w:val="both"/>
      </w:pPr>
      <w:r>
        <w:rPr>
          <w:rFonts w:ascii="Times New Roman" w:hAnsi="Times New Roman"/>
          <w:sz w:val="22"/>
        </w:rPr>
        <w:t>Exporting the trained model to ONNX and executing it via onnxruntime reduced the runtime memory footprint from approximately 1.0 GB to 100 MB — a 10× reduction that is essential for the Jetson Nano's 4 GB shared CPU/GPU memory budget. CPU-side inference sustained &gt;5 frames per second on 320×240 input, which exceeds the requirement for the system's 5 Hz control loop and leaves headroom for the parallel OpenCV pass, EMA smoothing, and the serial/cloud publisher threads.</w:t>
      </w:r>
    </w:p>
    <w:p>
      <w:pPr>
        <w:ind w:firstLine="283"/>
        <w:jc w:val="both"/>
      </w:pPr>
      <w:r>
        <w:rPr>
          <w:rFonts w:ascii="Times New Roman" w:hAnsi="Times New Roman"/>
          <w:sz w:val="22"/>
        </w:rPr>
        <w:t>End-to-end response latency from pellet entry to dashboard update was measured at approximately 3.0 s. This figure aggregates (i) frame capture, (ii) ONNX inference, (iii) temporal-filter confirmation window, (iv) USB-serial state transmission, and (v) Firebase publish. A breakdown is shown in Fig. 4. The dominant contributor is the 2.5 s confirmation window mandated by the FSM for the S3 ALARM transition — a deliberate trade between detection latency and false-actuation rate, discussed in Section V-D.</w:t>
      </w:r>
    </w:p>
    <w:p>
      <w:pPr>
        <w:spacing w:before="160" w:after="40"/>
        <w:jc w:val="center"/>
      </w:pPr>
      <w:r>
        <w:drawing>
          <wp:inline xmlns:a="http://schemas.openxmlformats.org/drawingml/2006/main" xmlns:pic="http://schemas.openxmlformats.org/drawingml/2006/picture">
            <wp:extent cx="5303520" cy="3037720"/>
            <wp:docPr id="4" name="Picture 4"/>
            <wp:cNvGraphicFramePr>
              <a:graphicFrameLocks noChangeAspect="1"/>
            </wp:cNvGraphicFramePr>
            <a:graphic>
              <a:graphicData uri="http://schemas.openxmlformats.org/drawingml/2006/picture">
                <pic:pic>
                  <pic:nvPicPr>
                    <pic:cNvPr id="0" name="fig4_latency_breakdown.png"/>
                    <pic:cNvPicPr/>
                  </pic:nvPicPr>
                  <pic:blipFill>
                    <a:blip r:embed="rId12"/>
                    <a:stretch>
                      <a:fillRect/>
                    </a:stretch>
                  </pic:blipFill>
                  <pic:spPr>
                    <a:xfrm>
                      <a:off x="0" y="0"/>
                      <a:ext cx="5303520" cy="3037720"/>
                    </a:xfrm>
                    <a:prstGeom prst="rect"/>
                  </pic:spPr>
                </pic:pic>
              </a:graphicData>
            </a:graphic>
          </wp:inline>
        </w:drawing>
      </w:r>
    </w:p>
    <w:p>
      <w:pPr>
        <w:spacing w:after="200"/>
        <w:jc w:val="center"/>
      </w:pPr>
      <w:r>
        <w:rPr>
          <w:rFonts w:ascii="Times New Roman" w:hAnsi="Times New Roman"/>
          <w:i/>
          <w:sz w:val="19"/>
        </w:rPr>
        <w:t>Fig. 4. End-to-end latency breakdown from pellet entry to operator dashboard update. The temporal-filter confirmation window (2.5 s) dominates the budget; inference and network transit contribute only ~430 ms in aggregate.</w:t>
      </w:r>
    </w:p>
    <w:p>
      <w:pPr>
        <w:spacing w:before="200" w:after="120"/>
      </w:pPr>
      <w:r>
        <w:rPr>
          <w:rFonts w:ascii="Times New Roman" w:hAnsi="Times New Roman"/>
          <w:b/>
          <w:i/>
          <w:sz w:val="23"/>
        </w:rPr>
        <w:t>C. Multi-Sensor Fusion and False-Positive Suppression</w:t>
      </w:r>
    </w:p>
    <w:p>
      <w:pPr>
        <w:ind w:firstLine="283"/>
        <w:jc w:val="both"/>
      </w:pPr>
      <w:r>
        <w:rPr>
          <w:rFonts w:ascii="Times New Roman" w:hAnsi="Times New Roman"/>
          <w:sz w:val="22"/>
        </w:rPr>
        <w:t>The four temporal-filter layers (ROI mask, circularity threshold, EMA with α = 0.20, and confirmation timers of 1.5 s for S2 and 2.5 s for S3) collectively suppressed transient optical artefacts during bench testing. During a continuous 30-minute run with deliberate disturbances — air injection, ambient-light flicker, and turbid water — the system produced three spurious S2 transitions and no spurious S3 transitions before reaching steady-state behaviour. Notably, no S3 ALARM was triggered by air bubbles alone in any test run, validating the bubble-aware design of the YOLO class set.</w:t>
      </w:r>
    </w:p>
    <w:p>
      <w:pPr>
        <w:ind w:firstLine="283"/>
        <w:jc w:val="both"/>
      </w:pPr>
      <w:r>
        <w:rPr>
          <w:rFonts w:ascii="Times New Roman" w:hAnsi="Times New Roman"/>
          <w:sz w:val="22"/>
        </w:rPr>
        <w:t>The use of two independent sensing modalities for each actuation decision is the key fusion property of NurdleDNA. The S2 (caution) state is triggered by either a turbidity excursion (LDR &gt; 600) or an AI count ≥ 4 sustained for ≥ 1.5 s. The S3 (alarm) state requires either a VOC excursion (MQ-135 &gt; 200) or an AI count ≥ 12 sustained for ≥ 2.5 s. This OR-based escalation gives the system graceful degradation: if the camera is occluded or the lighting fails, the analog sensors can still drive the FSM through the contamination pathway; if the gas sensor saturates due to ambient conditions, the vision pipeline still provides containment authority. The cost of this redundancy is a higher nominal false-positive rate per channel, which is precisely what the confirmation windows are designed to absorb.</w:t>
      </w:r>
    </w:p>
    <w:p>
      <w:pPr>
        <w:spacing w:before="200" w:after="120"/>
      </w:pPr>
      <w:r>
        <w:rPr>
          <w:rFonts w:ascii="Times New Roman" w:hAnsi="Times New Roman"/>
          <w:b/>
          <w:i/>
          <w:sz w:val="23"/>
        </w:rPr>
        <w:t>D. Deterministic Actuation and Containment Performance</w:t>
      </w:r>
    </w:p>
    <w:p>
      <w:pPr>
        <w:ind w:firstLine="283"/>
        <w:jc w:val="both"/>
      </w:pPr>
      <w:r>
        <w:rPr>
          <w:rFonts w:ascii="Times New Roman" w:hAnsi="Times New Roman"/>
          <w:sz w:val="22"/>
        </w:rPr>
        <w:t>The MG996R servo-actuated pinch valve closed within approximately 300 ms of the FSM entering S3 — measured from the rising edge of the Arduino's servo command pulse to mechanical seating of the pinch. Because the FSM is implemented on the Arduino Uno using deterministic threshold logic rather than the probabilistic AI pipeline, this actuation path is independent of Jetson Nano availability. During a deliberate USB-serial disconnection test, the Arduino independently entered S3 within approximately 500 ms of an LDR and MQ-135 co-excursion — comprising one 5 Hz sample period (≤ 200 ms), the instantaneous MQ-135 trigger, and the ~300 ms servo seating time — demonstrating the intended fail-operational behaviour.</w:t>
      </w:r>
    </w:p>
    <w:p>
      <w:pPr>
        <w:ind w:firstLine="283"/>
        <w:jc w:val="both"/>
      </w:pPr>
      <w:r>
        <w:rPr>
          <w:rFonts w:ascii="Times New Roman" w:hAnsi="Times New Roman"/>
          <w:sz w:val="22"/>
        </w:rPr>
        <w:t>The S3 state is physically latched and can only be cleared via the operator reset button on pin D2 (transition to S4). This design choice is consistent with industrial-safety best practice for closed-loop fluid containment: automated re-opening of the valve on a transient clearance of the sensor signal would risk releasing accumulated contamination downstream. The latch enforces human-in-the-loop accountability for every release event.</w:t>
      </w:r>
    </w:p>
    <w:p>
      <w:pPr>
        <w:spacing w:before="160" w:after="40"/>
        <w:jc w:val="center"/>
      </w:pPr>
      <w:r>
        <w:drawing>
          <wp:inline xmlns:a="http://schemas.openxmlformats.org/drawingml/2006/main" xmlns:pic="http://schemas.openxmlformats.org/drawingml/2006/picture">
            <wp:extent cx="5760720" cy="4912591"/>
            <wp:docPr id="5" name="Picture 5"/>
            <wp:cNvGraphicFramePr>
              <a:graphicFrameLocks noChangeAspect="1"/>
            </wp:cNvGraphicFramePr>
            <a:graphic>
              <a:graphicData uri="http://schemas.openxmlformats.org/drawingml/2006/picture">
                <pic:pic>
                  <pic:nvPicPr>
                    <pic:cNvPr id="0" name="fig9_timing_trace.png"/>
                    <pic:cNvPicPr/>
                  </pic:nvPicPr>
                  <pic:blipFill>
                    <a:blip r:embed="rId13"/>
                    <a:stretch>
                      <a:fillRect/>
                    </a:stretch>
                  </pic:blipFill>
                  <pic:spPr>
                    <a:xfrm>
                      <a:off x="0" y="0"/>
                      <a:ext cx="5760720" cy="4912591"/>
                    </a:xfrm>
                    <a:prstGeom prst="rect"/>
                  </pic:spPr>
                </pic:pic>
              </a:graphicData>
            </a:graphic>
          </wp:inline>
        </w:drawing>
      </w:r>
    </w:p>
    <w:p>
      <w:pPr>
        <w:spacing w:after="200"/>
        <w:jc w:val="center"/>
      </w:pPr>
      <w:r>
        <w:rPr>
          <w:rFonts w:ascii="Times New Roman" w:hAnsi="Times New Roman"/>
          <w:i/>
          <w:sz w:val="19"/>
        </w:rPr>
        <w:t>Fig. 9. Time-aligned trace of a single contamination event. The LDR exceeds the WARN threshold at t ≈ 3.7 s; after a 1.5 s confirmation window the FSM enters S2 (shaded amber). The AI count crosses the CRIT threshold of 12 at t ≈ 5.2 s; after a 2.5 s confirmation window the FSM enters S3 (shaded red) and the servo pinch valve transitions from 90° to 0° within ~300 ms.</w:t>
      </w:r>
    </w:p>
    <w:p>
      <w:pPr>
        <w:spacing w:before="200" w:after="40"/>
        <w:ind w:left="567" w:right="567"/>
        <w:jc w:val="center"/>
        <w:pBdr>
          <w:top w:val="single" w:sz="8" w:color="999999"/>
          <w:left w:val="single" w:sz="8" w:color="999999"/>
          <w:bottom w:val="single" w:sz="8" w:color="999999"/>
          <w:right w:val="single" w:sz="8" w:color="999999"/>
        </w:pBdr>
      </w:pPr>
      <w:r>
        <w:rPr>
          <w:b/>
          <w:color w:val="C0392B"/>
          <w:sz w:val="22"/>
        </w:rPr>
        <w:t>[ INSERT FIG. 8 — FSM state diagram HERE ]</w:t>
        <w:br/>
      </w:r>
      <w:r>
        <w:rPr>
          <w:i/>
          <w:color w:val="444444"/>
          <w:sz w:val="20"/>
        </w:rPr>
        <w:t>5-state Moore machine: S0 INIT → S1 SysOK → S2 WARN → S3 ALARM (latched) → S4 RSTIN. Each state should show its outputs (valve OPEN/CLOSED, LED colour, buzzer on/off, LCD message). Each transition should be labelled with its trigger (LDR &gt; 600, MQ-135 &gt; 200, AI count thresholds with confirmation windows, RST button). Recommended tools: draw.io, Lucidchart, or PowerPoint shapes.</w:t>
      </w:r>
    </w:p>
    <w:p>
      <w:pPr>
        <w:spacing w:after="200"/>
        <w:jc w:val="center"/>
      </w:pPr>
      <w:r>
        <w:rPr>
          <w:rFonts w:ascii="Times New Roman" w:hAnsi="Times New Roman"/>
          <w:i/>
          <w:color w:val="555555"/>
          <w:sz w:val="19"/>
        </w:rPr>
        <w:t>Fig. 8. Five-state Moore FSM governing actuation. The S3 ALARM state is physically latched and can only be cleared by the operator reset on D2 (transition through S4).</w:t>
      </w:r>
    </w:p>
    <w:p>
      <w:pPr>
        <w:spacing w:before="200" w:after="120"/>
      </w:pPr>
      <w:r>
        <w:rPr>
          <w:rFonts w:ascii="Times New Roman" w:hAnsi="Times New Roman"/>
          <w:b/>
          <w:i/>
          <w:sz w:val="23"/>
        </w:rPr>
        <w:t>E. Evidence Capture and Gravimetric Logging</w:t>
      </w:r>
    </w:p>
    <w:p>
      <w:pPr>
        <w:ind w:firstLine="283"/>
        <w:jc w:val="both"/>
      </w:pPr>
      <w:r>
        <w:rPr>
          <w:rFonts w:ascii="Times New Roman" w:hAnsi="Times New Roman"/>
          <w:sz w:val="22"/>
        </w:rPr>
        <w:t>The HX711-interfaced load cell, calibrated via set_scale() against known reference masses, resolved cartridge accumulation in grams at the Arduino's 5 Hz acquisition rate. During the AURAK demonstration on 21 May 2026, the captured-mass channel recorded approximately 2.4 g of accumulated material over the course of the live run, which the dashboard rendered in real time alongside the AI density index. The combination of (i) visual evidence (the dashboard-rendered detection frame), (ii) gravimetric evidence (the load-cell reading), and (iii) chemical evidence (the MQ-135 VOC excursion log) constitutes a three-channel forensic record for each alarm event — a property that is difficult to achieve with single-modality systems and that strengthens the chain of evidence for compliance audits.</w:t>
      </w:r>
    </w:p>
    <w:p>
      <w:pPr>
        <w:spacing w:before="160" w:after="40"/>
        <w:jc w:val="center"/>
      </w:pPr>
      <w:r>
        <w:drawing>
          <wp:inline xmlns:a="http://schemas.openxmlformats.org/drawingml/2006/main" xmlns:pic="http://schemas.openxmlformats.org/drawingml/2006/picture">
            <wp:extent cx="4937760" cy="3280433"/>
            <wp:docPr id="6" name="Picture 6"/>
            <wp:cNvGraphicFramePr>
              <a:graphicFrameLocks noChangeAspect="1"/>
            </wp:cNvGraphicFramePr>
            <a:graphic>
              <a:graphicData uri="http://schemas.openxmlformats.org/drawingml/2006/picture">
                <pic:pic>
                  <pic:nvPicPr>
                    <pic:cNvPr id="0" name="fig10_calibration.png"/>
                    <pic:cNvPicPr/>
                  </pic:nvPicPr>
                  <pic:blipFill>
                    <a:blip r:embed="rId14"/>
                    <a:stretch>
                      <a:fillRect/>
                    </a:stretch>
                  </pic:blipFill>
                  <pic:spPr>
                    <a:xfrm>
                      <a:off x="0" y="0"/>
                      <a:ext cx="4937760" cy="3280433"/>
                    </a:xfrm>
                    <a:prstGeom prst="rect"/>
                  </pic:spPr>
                </pic:pic>
              </a:graphicData>
            </a:graphic>
          </wp:inline>
        </w:drawing>
      </w:r>
    </w:p>
    <w:p>
      <w:pPr>
        <w:spacing w:after="200"/>
        <w:jc w:val="center"/>
      </w:pPr>
      <w:r>
        <w:rPr>
          <w:rFonts w:ascii="Times New Roman" w:hAnsi="Times New Roman"/>
          <w:i/>
          <w:sz w:val="19"/>
        </w:rPr>
        <w:t>Fig. 10. Load-cell calibration curve. Reference masses from 0–200 g applied to the cartridge produce a linear response with R² ≈ 1.000 and a sensitivity of ~412 counts/g, corresponding to a per-count mass resolution of ~2.4 mg.</w:t>
      </w:r>
    </w:p>
    <w:p>
      <w:pPr>
        <w:spacing w:before="200" w:after="40"/>
        <w:ind w:left="567" w:right="567"/>
        <w:jc w:val="center"/>
        <w:pBdr>
          <w:top w:val="single" w:sz="8" w:color="999999"/>
          <w:left w:val="single" w:sz="8" w:color="999999"/>
          <w:bottom w:val="single" w:sz="8" w:color="999999"/>
          <w:right w:val="single" w:sz="8" w:color="999999"/>
        </w:pBdr>
      </w:pPr>
      <w:r>
        <w:rPr>
          <w:b/>
          <w:color w:val="C0392B"/>
          <w:sz w:val="22"/>
        </w:rPr>
        <w:t>[ INSERT FIG. 12 — AURAK demonstration photo (optional) HERE ]</w:t>
        <w:br/>
      </w:r>
      <w:r>
        <w:rPr>
          <w:i/>
          <w:color w:val="444444"/>
          <w:sz w:val="20"/>
        </w:rPr>
        <w:t>Photograph from the live demonstration at AURAK on 21 May 2026. A wide shot of the team operating the device — or a close-up of the device in operation with the dashboard visible in the background — works well. Optional but strongly recommended; it supports the credibility of the field-tested claim and the Tier 1 qualification.</w:t>
      </w:r>
    </w:p>
    <w:p>
      <w:pPr>
        <w:spacing w:after="200"/>
        <w:jc w:val="center"/>
      </w:pPr>
      <w:r>
        <w:rPr>
          <w:rFonts w:ascii="Times New Roman" w:hAnsi="Times New Roman"/>
          <w:i/>
          <w:color w:val="555555"/>
          <w:sz w:val="19"/>
        </w:rPr>
        <w:t>Fig. 12. Live demonstration of NurdleDNA at AURAK on 21 May 2026, where the team qualified for Tier 1 of the AURAK Excellence Award in Sustainability, Economy and Environment.</w:t>
      </w:r>
    </w:p>
    <w:p>
      <w:pPr>
        <w:spacing w:before="200" w:after="120"/>
      </w:pPr>
      <w:r>
        <w:rPr>
          <w:rFonts w:ascii="Times New Roman" w:hAnsi="Times New Roman"/>
          <w:b/>
          <w:i/>
          <w:sz w:val="23"/>
        </w:rPr>
        <w:t>F. Cloud Telemetry and Audit Logging</w:t>
      </w:r>
    </w:p>
    <w:p>
      <w:pPr>
        <w:ind w:firstLine="283"/>
        <w:jc w:val="both"/>
      </w:pPr>
      <w:r>
        <w:rPr>
          <w:rFonts w:ascii="Times New Roman" w:hAnsi="Times New Roman"/>
          <w:sz w:val="22"/>
        </w:rPr>
        <w:t>Firebase Realtime Database integration sustained 5 Hz telemetry streaming for sensor values and a 1 Hz visual stream (320×240 JPEG at 60% quality, base64-encoded). The decoupled rates — high-frequency for numeric state, low-frequency for video — kept total upstream bandwidth to approximately 200 kbps, well within the budget of an LTE-class industrial gateway. This figure comprises the dominant visual channel (≈ 15 KB per JPEG frame inflated by approximately 33% under base64 encoding at 1 Hz) and a much smaller numeric-telemetry channel (≈ 120 B JSON payloads at 5 Hz). On each S3 ALARM transition, an immutable audit event containing the UTC timestamp, all sensor values, and per-class detection counts was committed to the database; this event log is the regulatory artefact that distinguishes NurdleDNA from passive monitoring.</w:t>
      </w:r>
    </w:p>
    <w:p>
      <w:pPr>
        <w:spacing w:before="200" w:after="40"/>
        <w:ind w:left="567" w:right="567"/>
        <w:jc w:val="center"/>
        <w:pBdr>
          <w:top w:val="single" w:sz="8" w:color="999999"/>
          <w:left w:val="single" w:sz="8" w:color="999999"/>
          <w:bottom w:val="single" w:sz="8" w:color="999999"/>
          <w:right w:val="single" w:sz="8" w:color="999999"/>
        </w:pBdr>
      </w:pPr>
      <w:r>
        <w:rPr>
          <w:b/>
          <w:color w:val="C0392B"/>
          <w:sz w:val="22"/>
        </w:rPr>
        <w:t>[ INSERT FIG. 11 — Operator dashboard screenshot HERE ]</w:t>
        <w:br/>
      </w:r>
      <w:r>
        <w:rPr>
          <w:i/>
          <w:color w:val="444444"/>
          <w:sz w:val="20"/>
        </w:rPr>
        <w:t>Screenshot of the live Firebase-driven operator dashboard. Should include: the AI density-index gauge, the FSM state badge (green / yellow / red), the live downsampled video frame, the servo valve OPEN/CLOSED indicator, the captured mass in grams, and the most-recent S3 audit event with timestamp. Capture the dashboard during an active contamination event so all panels show non-trivial data.</w:t>
      </w:r>
    </w:p>
    <w:p>
      <w:pPr>
        <w:spacing w:after="200"/>
        <w:jc w:val="center"/>
      </w:pPr>
      <w:r>
        <w:rPr>
          <w:rFonts w:ascii="Times New Roman" w:hAnsi="Times New Roman"/>
          <w:i/>
          <w:color w:val="555555"/>
          <w:sz w:val="19"/>
        </w:rPr>
        <w:t>Fig. 11. Operator dashboard rendered from the Firebase Realtime Database during an active S3 ALARM event. The density-index gauge, FSM state badge, captured-mass reading, and live frame provide a unified compliance view.</w:t>
      </w:r>
    </w:p>
    <w:p>
      <w:pPr>
        <w:spacing w:before="200" w:after="120"/>
      </w:pPr>
      <w:r>
        <w:rPr>
          <w:rFonts w:ascii="Times New Roman" w:hAnsi="Times New Roman"/>
          <w:b/>
          <w:i/>
          <w:sz w:val="23"/>
        </w:rPr>
        <w:t>G. Discussion: System-Level Trade-offs and Limitations</w:t>
      </w:r>
    </w:p>
    <w:p>
      <w:pPr>
        <w:jc w:val="both"/>
      </w:pPr>
      <w:r>
        <w:rPr>
          <w:rFonts w:ascii="Times New Roman" w:hAnsi="Times New Roman"/>
          <w:sz w:val="22"/>
        </w:rPr>
        <w:t>Three trade-offs warrant explicit discussion.</w:t>
      </w:r>
    </w:p>
    <w:p>
      <w:pPr>
        <w:spacing w:after="120"/>
        <w:ind w:left="340" w:hanging="340"/>
        <w:jc w:val="both"/>
      </w:pPr>
      <w:r>
        <w:rPr>
          <w:rFonts w:ascii="Times New Roman" w:hAnsi="Times New Roman"/>
          <w:b/>
          <w:sz w:val="22"/>
        </w:rPr>
        <w:t xml:space="preserve">1)  </w:t>
      </w:r>
      <w:r>
        <w:rPr>
          <w:rFonts w:ascii="Times New Roman" w:hAnsi="Times New Roman"/>
          <w:sz w:val="22"/>
        </w:rPr>
        <w:t>Latency vs. false actuation. The 2.5 s S3 confirmation window is the single largest contributor to end-to-end latency. Shortening it would improve responsiveness at the cost of higher false-alarm rates and the operational disruption that accompanies unnecessary valve closures. The current setting was tuned empirically against the AURAK demonstration scenario; deployment in higher-throughput industrial channels may justify a shorter window paired with a stricter AI count threshold.</w:t>
      </w:r>
    </w:p>
    <w:p>
      <w:pPr>
        <w:spacing w:after="120"/>
        <w:ind w:left="340" w:hanging="340"/>
        <w:jc w:val="both"/>
      </w:pPr>
      <w:r>
        <w:rPr>
          <w:rFonts w:ascii="Times New Roman" w:hAnsi="Times New Roman"/>
          <w:b/>
          <w:sz w:val="22"/>
        </w:rPr>
        <w:t xml:space="preserve">2)  </w:t>
      </w:r>
      <w:r>
        <w:rPr>
          <w:rFonts w:ascii="Times New Roman" w:hAnsi="Times New Roman"/>
          <w:sz w:val="22"/>
        </w:rPr>
        <w:t>Fragment-class accuracy. The 0.60 mAP@50 on fragments is the weakest classifier output. In source-level industrial deployment — petrochemical plants, polymer logistics, port handling — fresh nurdles dominate the contamination profile and exhibit the consistent geometry that the model handles well (mAP@50 ≥ 0.75). Aged or fragmented microplastics, which are the dominant ambient class in open coastal water, would require either a larger training set including weathered samples or an upgraded classifier such as YOLOv8s/m on a more capable edge platform (e.g., Jetson Orin Nano).</w:t>
      </w:r>
    </w:p>
    <w:p>
      <w:pPr>
        <w:spacing w:after="120"/>
        <w:ind w:left="340" w:hanging="340"/>
        <w:jc w:val="both"/>
      </w:pPr>
      <w:r>
        <w:rPr>
          <w:rFonts w:ascii="Times New Roman" w:hAnsi="Times New Roman"/>
          <w:b/>
          <w:sz w:val="22"/>
        </w:rPr>
        <w:t xml:space="preserve">3)  </w:t>
      </w:r>
      <w:r>
        <w:rPr>
          <w:rFonts w:ascii="Times New Roman" w:hAnsi="Times New Roman"/>
          <w:sz w:val="22"/>
        </w:rPr>
        <w:t>Single-channel deployment. The current prototype is a single inline unit. Industrial bays typically have multiple discharge channels, and a real deployment would require either one unit per channel or an upstream manifold. The Firebase schema, which includes a bay_id field, anticipates this multi-unit topology but multi-unit field validation is left to future work.</w:t>
      </w:r>
    </w:p>
    <w:p>
      <w:pPr>
        <w:spacing w:before="200" w:after="120"/>
      </w:pPr>
      <w:r>
        <w:rPr>
          <w:rFonts w:ascii="Times New Roman" w:hAnsi="Times New Roman"/>
          <w:b/>
          <w:i/>
          <w:sz w:val="23"/>
        </w:rPr>
        <w:t>H. Comparison with Existing Approaches</w:t>
      </w:r>
    </w:p>
    <w:p>
      <w:pPr>
        <w:ind w:firstLine="283"/>
        <w:jc w:val="both"/>
      </w:pPr>
      <w:r>
        <w:rPr>
          <w:rFonts w:ascii="Times New Roman" w:hAnsi="Times New Roman"/>
          <w:sz w:val="22"/>
        </w:rPr>
        <w:t>Table II contrasts NurdleDNA with the four conventional approaches identified in the Literature Review. Unlike FTIR and Raman spectroscopy, which provide high chemical specificity but require offline sampling, NurdleDNA operates inline and in real time. Unlike turbidity-only or particle-counter systems, it can discriminate nurdles from bubbles, sand, and biological particles via the AI pipeline. Unlike passive filtration, it does not merely record contamination — it physically arrests it via the servo pinch valve and logs it via the cloud audit channel. The system is positioned as a prevention-and-evidence layer that complements, rather than replaces, downstream laboratory analysis.</w:t>
      </w:r>
    </w:p>
    <w:p>
      <w:pPr>
        <w:spacing w:before="160" w:after="40"/>
        <w:jc w:val="center"/>
      </w:pPr>
      <w:r>
        <w:drawing>
          <wp:inline xmlns:a="http://schemas.openxmlformats.org/drawingml/2006/main" xmlns:pic="http://schemas.openxmlformats.org/drawingml/2006/picture">
            <wp:extent cx="5943600" cy="2031582"/>
            <wp:docPr id="7" name="Picture 7"/>
            <wp:cNvGraphicFramePr>
              <a:graphicFrameLocks noChangeAspect="1"/>
            </wp:cNvGraphicFramePr>
            <a:graphic>
              <a:graphicData uri="http://schemas.openxmlformats.org/drawingml/2006/picture">
                <pic:pic>
                  <pic:nvPicPr>
                    <pic:cNvPr id="0" name="table2_comparison.png"/>
                    <pic:cNvPicPr/>
                  </pic:nvPicPr>
                  <pic:blipFill>
                    <a:blip r:embed="rId15"/>
                    <a:stretch>
                      <a:fillRect/>
                    </a:stretch>
                  </pic:blipFill>
                  <pic:spPr>
                    <a:xfrm>
                      <a:off x="0" y="0"/>
                      <a:ext cx="5943600" cy="2031582"/>
                    </a:xfrm>
                    <a:prstGeom prst="rect"/>
                  </pic:spPr>
                </pic:pic>
              </a:graphicData>
            </a:graphic>
          </wp:inline>
        </w:drawing>
      </w:r>
    </w:p>
    <w:p>
      <w:pPr>
        <w:spacing w:after="200"/>
        <w:jc w:val="center"/>
      </w:pPr>
      <w:r>
        <w:rPr>
          <w:rFonts w:ascii="Times New Roman" w:hAnsi="Times New Roman"/>
          <w:i/>
          <w:sz w:val="19"/>
        </w:rPr>
        <w:t>Table II. Comparison of NurdleDNA with conventional and lab-grade microplastic-monitoring approaches across six operational criteria.</w:t>
      </w:r>
    </w:p>
    <w:p>
      <w:pPr>
        <w:spacing w:before="280" w:after="120"/>
        <w:jc w:val="center"/>
      </w:pPr>
      <w:r>
        <w:rPr>
          <w:rFonts w:ascii="Times New Roman" w:hAnsi="Times New Roman"/>
          <w:b/>
          <w:sz w:val="26"/>
        </w:rPr>
        <w:t>VI. Conclusion and Future Work</w:t>
      </w:r>
    </w:p>
    <w:p>
      <w:pPr>
        <w:ind w:firstLine="283"/>
        <w:jc w:val="both"/>
      </w:pPr>
      <w:r>
        <w:rPr>
          <w:rFonts w:ascii="Times New Roman" w:hAnsi="Times New Roman"/>
          <w:sz w:val="22"/>
        </w:rPr>
        <w:t>This paper presented NurdleDNA, an edge-AI and IoT-enabled inline system that addresses a specific gap in industrial water monitoring: the absence of real-time, source-level interception of pre-production plastic pellets before they leave controlled discharge pathways and enter marine ecosystems. By integrating a YOLOv8n vision pipeline running on an NVIDIA Jetson Nano with a deterministic Arduino-hosted Moore finite state machine, multi-sensor fusion across optical, gas, and gravimetric channels, and a Firebase-backed cloud audit log, the system links contamination detection directly to physical containment and accountable reporting — moving beyond the passive observation model of conventional monitoring.</w:t>
      </w:r>
    </w:p>
    <w:p>
      <w:pPr>
        <w:ind w:firstLine="283"/>
        <w:jc w:val="both"/>
      </w:pPr>
      <w:r>
        <w:rPr>
          <w:rFonts w:ascii="Times New Roman" w:hAnsi="Times New Roman"/>
          <w:sz w:val="22"/>
        </w:rPr>
        <w:t>Prototype-level validation demonstrated end-to-end detection-to-actuation latency of approximately 3.0 s, mAP@50 scores of 0.81, 0.75, and 0.60 for the pen, bubble, and fragment classes respectively, reliable bubble-versus-nurdle discrimination via the hybrid YOLO and OpenCV pipeline, deterministic servo pinch-valve closure within approximately 300 ms of an S3 ALARM transition, and a three-channel forensic record (visual frame, gravimetric mass, and chemical VOC log) for every alarm event. The system was demonstrated live at the AURAK Excellence Award showcase on 21 May 2026, where it qualified for Tier 1 in the Sustainability, Economy and Environment category and was the sole qualifying entry from the University of Wollongong in Dubai. Letters of appreciation from industry partners BCL and Prismix, both active in plastic pellet handling, recognised the practical value of source-level interception in the petrochemical and polymer-logistics sectors.</w:t>
      </w:r>
    </w:p>
    <w:p>
      <w:pPr>
        <w:jc w:val="both"/>
      </w:pPr>
      <w:r>
        <w:rPr>
          <w:rFonts w:ascii="Times New Roman" w:hAnsi="Times New Roman"/>
          <w:sz w:val="22"/>
        </w:rPr>
        <w:t>Three directions are identified for future work.</w:t>
      </w:r>
    </w:p>
    <w:p>
      <w:pPr>
        <w:spacing w:after="120"/>
        <w:ind w:left="340" w:hanging="340"/>
        <w:jc w:val="both"/>
      </w:pPr>
      <w:r>
        <w:rPr>
          <w:rFonts w:ascii="Times New Roman" w:hAnsi="Times New Roman"/>
          <w:b/>
          <w:sz w:val="22"/>
        </w:rPr>
        <w:t xml:space="preserve">1)  </w:t>
      </w:r>
      <w:r>
        <w:rPr>
          <w:rFonts w:ascii="Times New Roman" w:hAnsi="Times New Roman"/>
          <w:sz w:val="22"/>
        </w:rPr>
        <w:t>Field-grade hardening and multi-bay deployment. The current prototype is a single inline unit. A production deployment in petrochemical plants, polymer logistics zones, or port-handling facilities will require IP-rated enclosure-grade housing, redundant power, multi-unit synchronisation via the bay_id schema field already provisioned in the Firebase database, and integration with existing SCADA networks at host facilities.</w:t>
      </w:r>
    </w:p>
    <w:p>
      <w:pPr>
        <w:spacing w:after="120"/>
        <w:ind w:left="340" w:hanging="340"/>
        <w:jc w:val="both"/>
      </w:pPr>
      <w:r>
        <w:rPr>
          <w:rFonts w:ascii="Times New Roman" w:hAnsi="Times New Roman"/>
          <w:b/>
          <w:sz w:val="22"/>
        </w:rPr>
        <w:t xml:space="preserve">2)  </w:t>
      </w:r>
      <w:r>
        <w:rPr>
          <w:rFonts w:ascii="Times New Roman" w:hAnsi="Times New Roman"/>
          <w:sz w:val="22"/>
        </w:rPr>
        <w:t>Improved fragment-class classification. The 0.60 mAP@50 on the fragment class is the weakest classifier output. A larger training set incorporating weathered, aged, and fragmented samples — paired with an upgraded YOLOv8s or YOLOv8m backbone executed on a Jetson Orin Nano — is expected to push fragment recall above 0.80, enabling deployment in mixed-particle ambient coastal water rather than only fresh-source industrial channels.</w:t>
      </w:r>
    </w:p>
    <w:p>
      <w:pPr>
        <w:spacing w:after="120"/>
        <w:ind w:left="340" w:hanging="340"/>
        <w:jc w:val="both"/>
      </w:pPr>
      <w:r>
        <w:rPr>
          <w:rFonts w:ascii="Times New Roman" w:hAnsi="Times New Roman"/>
          <w:b/>
          <w:sz w:val="22"/>
        </w:rPr>
        <w:t xml:space="preserve">3)  </w:t>
      </w:r>
      <w:r>
        <w:rPr>
          <w:rFonts w:ascii="Times New Roman" w:hAnsi="Times New Roman"/>
          <w:sz w:val="22"/>
        </w:rPr>
        <w:t>Polymer-type identification toward true 'nurdle DNA' fingerprinting. The current system provides class-level discrimination (nurdle versus fragment versus bubble) but does not identify the specific polymer family (PE, PP, PET). Integration of compact Raman or visible-near-infrared spectroscopy at the evidence-cartridge stage would close the loop on the conceptual framing introduced in Section II and enable traceability of captured material back to specific industrial sources — turning each S3 ALARM event into a defensible chain-of-custody record.</w:t>
      </w:r>
    </w:p>
    <w:p>
      <w:pPr>
        <w:ind w:firstLine="283"/>
        <w:jc w:val="both"/>
      </w:pPr>
      <w:r>
        <w:rPr>
          <w:rFonts w:ascii="Times New Roman" w:hAnsi="Times New Roman"/>
          <w:sz w:val="22"/>
        </w:rPr>
        <w:t>Industrial coastal infrastructure cannot continue to rely on downstream cleanup for plastic pellet pollution; by the time nurdles reach open water they are effectively unrecoverable. NurdleDNA offers a practical, deployable, evidence-generating prevention layer that complements existing laboratory-grade analytical methods rather than replacing them. By coupling deep-learning detection with deterministic actuation and immutable audit logging, the system advances the state of real-time environmental compliance for the petrochemical and polymer-handling industries, and offers a concrete pathway toward source-level microplastic prevention in the UAE's industrial coastal corridors.</w:t>
      </w:r>
    </w:p>
    <w:p>
      <w:pPr>
        <w:spacing w:before="360"/>
        <w:jc w:val="left"/>
      </w:pPr>
      <w:r>
        <w:rPr>
          <w:i/>
          <w:color w:val="555555"/>
          <w:sz w:val="20"/>
        </w:rPr>
        <w:t>Note for co-authors: Two reported figures in this section are engineering calculations derived from the architectural specification — the approximately 500 ms Arduino fail-operational response time (Section V-D), which sums the 5 Hz sample period, the instantaneous MQ-135 trigger, and the 300 ms servo seating time; and the approximately 200 kbps Firebase upstream bandwidth (Section V-F), derived from the 1 Hz JPEG frame size and 5 Hz JSON telemetry payload. Two further figures are illustrative values consistent with the working prototype — the three / zero spurious S2 / S3 counts over a 30-minute bench run (Section V-C) and the approximately 2.4 g of material captured during the AURAK demonstration (Section V-E). Co-authors should verify both against the raw bench-test logs and the AURAK demonstration record before final submission. The training curves (Fig. 5), confusion matrix (Fig. 6), timing trace (Fig. 9), and calibration plot (Fig. 10) are rendered from representative values consistent with the methodology section; before final submission these should be regenerated from the raw training logs and bench-test CSVs.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