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5"/>
        </w:numPr>
        <w:ind w:left="720" w:hanging="360"/>
        <w:contextualSpacing w:val="1"/>
        <w:rPr>
          <w:b w:val="1"/>
          <w:sz w:val="28"/>
          <w:szCs w:val="28"/>
        </w:rPr>
      </w:pPr>
      <w:r w:rsidDel="00000000" w:rsidR="00000000" w:rsidRPr="00000000">
        <w:rPr>
          <w:b w:val="1"/>
          <w:sz w:val="28"/>
          <w:szCs w:val="28"/>
          <w:rtl w:val="0"/>
        </w:rPr>
        <w:t xml:space="preserve">Recherche de ce qui se fait en fonctions des rubriques qui m’intriguent.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Liste des rubriques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CGV (conditions générales de ventes, aller voir les ite de “I-run” et “Zalando”)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Mention légale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Livraison et retour (aller voir sur http://www.sportsdirect.com/)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Bien choisir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Guide taille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CGV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Les conditions générales de ventes changent complètement en fonction du site dont il est question, il n’y a pas de formes légales à respecter sur laquelle se baser. Le mieux reste donc de s’inspirer de ce qui se fait déjà sur deux, trois sites.</w:t>
      </w:r>
    </w:p>
    <w:p w:rsidR="00000000" w:rsidDel="00000000" w:rsidP="00000000" w:rsidRDefault="00000000" w:rsidRPr="00000000">
      <w:pPr>
        <w:contextualSpacing w:val="0"/>
        <w:jc w:val="both"/>
        <w:rPr/>
      </w:pPr>
      <w:r w:rsidDel="00000000" w:rsidR="00000000" w:rsidRPr="00000000">
        <w:rPr>
          <w:rtl w:val="0"/>
        </w:rPr>
        <w:t xml:space="preserve">La forme que je propose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Commencer par un préambule qui en plus de définir avec précision à qui appartient le site (l’entreprise qui le possède), définit également la politique de vente, et de la communication client.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Exemples sur Zalando : </w:t>
      </w:r>
    </w:p>
    <w:p w:rsidR="00000000" w:rsidDel="00000000" w:rsidP="00000000" w:rsidRDefault="00000000" w:rsidRPr="00000000">
      <w:pPr>
        <w:contextualSpacing w:val="0"/>
        <w:jc w:val="both"/>
        <w:rPr>
          <w:b w:val="1"/>
        </w:rPr>
      </w:pPr>
      <w:r w:rsidDel="00000000" w:rsidR="00000000" w:rsidRPr="00000000">
        <w:rPr>
          <w:b w:val="1"/>
          <w:sz w:val="28"/>
          <w:szCs w:val="28"/>
          <w:rtl w:val="0"/>
        </w:rPr>
        <w:t xml:space="preserve">“</w:t>
      </w:r>
      <w:r w:rsidDel="00000000" w:rsidR="00000000" w:rsidRPr="00000000">
        <w:rPr>
          <w:rtl w:val="0"/>
        </w:rPr>
        <w:t xml:space="preserve">Les sites </w:t>
      </w:r>
      <w:r w:rsidDel="00000000" w:rsidR="00000000" w:rsidRPr="00000000">
        <w:rPr>
          <w:b w:val="1"/>
          <w:rtl w:val="0"/>
        </w:rPr>
        <w:t xml:space="preserve">www.zalando.fr</w:t>
      </w:r>
      <w:r w:rsidDel="00000000" w:rsidR="00000000" w:rsidRPr="00000000">
        <w:rPr>
          <w:rtl w:val="0"/>
        </w:rPr>
        <w:t xml:space="preserve"> et </w:t>
      </w:r>
      <w:r w:rsidDel="00000000" w:rsidR="00000000" w:rsidRPr="00000000">
        <w:rPr>
          <w:b w:val="1"/>
          <w:rtl w:val="0"/>
        </w:rPr>
        <w:t xml:space="preserve">www.zalando-prive.fr</w:t>
      </w:r>
      <w:r w:rsidDel="00000000" w:rsidR="00000000" w:rsidRPr="00000000">
        <w:rPr>
          <w:rtl w:val="0"/>
        </w:rPr>
        <w:t xml:space="preserve"> sont gérés par la société ZALANDO SE, société anonyme de droit allemand au capital social de EUR 246.297.493, dont le siège social est situé Tamara-Danz-Str. 1, D-10243 BERLIN, Allemagne, immatriculée au Registre du commerce et des sociétés de BERLIN (CHARLOTTENBURG) sous le numéro HRB 158855 B. </w:t>
      </w:r>
      <w:r w:rsidDel="00000000" w:rsidR="00000000" w:rsidRPr="00000000">
        <w:rPr>
          <w:b w:val="1"/>
          <w:sz w:val="28"/>
          <w:szCs w:val="28"/>
          <w:rtl w:val="0"/>
        </w:rPr>
        <w:t xml:space="preserve">“</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sz w:val="28"/>
          <w:szCs w:val="28"/>
          <w:rtl w:val="0"/>
        </w:rPr>
        <w:t xml:space="preserve">“</w:t>
      </w:r>
      <w:r w:rsidDel="00000000" w:rsidR="00000000" w:rsidRPr="00000000">
        <w:rPr>
          <w:rtl w:val="0"/>
        </w:rPr>
        <w:t xml:space="preserve">Dans nos relations avec nos clients, nous cherchons toujours des solutions adaptées et flexibles, même lorsqu’il s’agit des questions juridiques. En cas de difficultés, nous vous prions de contacter notre service client.</w:t>
      </w:r>
      <w:r w:rsidDel="00000000" w:rsidR="00000000" w:rsidRPr="00000000">
        <w:rPr>
          <w:b w:val="1"/>
          <w:sz w:val="28"/>
          <w:szCs w:val="28"/>
          <w:rtl w:val="0"/>
        </w:rPr>
        <w:t xml:space="preserve">”</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2)  Ensuite séparer la CGV en plusieurs articles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1 devra porter sur la définition exacte des termes suivant : “client, commande, produit, vente, livraison, panier …” possibilité d’en rajouter.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2 devra porter sur l’ensemble des droits et des obligations, du site envers le client, et du client envers le site. En gros l’article 2 définit les droits du clients et de l’entreprise.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3 devra porter sur les conditions d’inscriptions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4 devra informer le client de ce qu’il advient des données de ses commandes ainsi que de préciser que les CGV présentent peuvent être à tout moment modifiées, sans autorisation de la part du client requise.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5 devra porter sur les prix présents sur le site internet. C’est à dire préciser si le site se réserve les droits de les modifier à tout moment, la monnaie utilisé, s’il y a moyen de convertir une autre monnaie pour acheter les produits proposés. Il faudra aussi parler des taxes de transports (en cas de réservation depuis un DOM/TOM)</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6 devra porter sur les modalité de paiement (par chèque par carte ….), sur les cas de litiges ou de refus de paiement, ainsi que sur la définition de la réserve de propriété (à savoir que c’est le droit de l’entreprise de disposer de ses produits comme elle veut jusqu’à la fin du paiement … en gros).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7 devra porter sur les modalités de livraison, exemple :</w:t>
      </w:r>
    </w:p>
    <w:p w:rsidR="00000000" w:rsidDel="00000000" w:rsidP="00000000" w:rsidRDefault="00000000" w:rsidRPr="00000000">
      <w:pPr>
        <w:ind w:left="720" w:firstLine="0"/>
        <w:contextualSpacing w:val="0"/>
        <w:jc w:val="both"/>
        <w:rPr/>
      </w:pPr>
      <w:hyperlink r:id="rId5">
        <w:r w:rsidDel="00000000" w:rsidR="00000000" w:rsidRPr="00000000">
          <w:rPr>
            <w:color w:val="1155cc"/>
            <w:u w:val="single"/>
            <w:rtl w:val="0"/>
          </w:rPr>
          <w:t xml:space="preserve">https://drive.google.com/open?id=1-PHNTBtGRXEDjwy0S9GEC4wUMLZa4XCzeAfl_2uqwVE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l’article 8 citera des paragraphe du code de la consommation et de la propriété intellectuelle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je pense qu’on va faire un joli copier coller </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Mention Légale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Les mentions légales contiennent plusieurs paragraphes qui définissent/ mentionnent/ stipulent chacun et respectivement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L’identité</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l’hébergeur du site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contact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mentionne le code de la propriété intellectuel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stipule que le site est conforme aux règles de la CNIL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cite les noms des responsables photo ou image, ainsi que des publications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u w:val="single"/>
          <w:rtl w:val="0"/>
        </w:rPr>
        <w:t xml:space="preserve">Bien choisir :</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En gros c’est un tuto.</w:t>
      </w:r>
    </w:p>
    <w:p w:rsidR="00000000" w:rsidDel="00000000" w:rsidP="00000000" w:rsidRDefault="00000000" w:rsidRPr="00000000">
      <w:pPr>
        <w:ind w:left="0" w:firstLine="0"/>
        <w:contextualSpacing w:val="0"/>
        <w:jc w:val="both"/>
        <w:rPr/>
      </w:pPr>
      <w:r w:rsidDel="00000000" w:rsidR="00000000" w:rsidRPr="00000000">
        <w:rPr>
          <w:rtl w:val="0"/>
        </w:rPr>
        <w:tab/>
        <w:t xml:space="preserve">Exemple ici : </w:t>
      </w:r>
      <w:hyperlink r:id="rId6">
        <w:r w:rsidDel="00000000" w:rsidR="00000000" w:rsidRPr="00000000">
          <w:rPr>
            <w:color w:val="1155cc"/>
            <w:u w:val="single"/>
            <w:rtl w:val="0"/>
          </w:rPr>
          <w:t xml:space="preserve">http://www.i-run.fr/trouver_votre_chaussure.html</w:t>
        </w:r>
      </w:hyperlink>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Guide taille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Encore une fois il s’agit d’un tutoriel, on commence par un préambule qui introduit aux néophytes la notion de choix dans les tailles en fonction de la formes des pieds et des chaussures. </w:t>
      </w:r>
    </w:p>
    <w:p w:rsidR="00000000" w:rsidDel="00000000" w:rsidP="00000000" w:rsidRDefault="00000000" w:rsidRPr="00000000">
      <w:pPr>
        <w:contextualSpacing w:val="0"/>
        <w:jc w:val="both"/>
        <w:rPr/>
      </w:pPr>
      <w:r w:rsidDel="00000000" w:rsidR="00000000" w:rsidRPr="00000000">
        <w:rPr>
          <w:rtl w:val="0"/>
        </w:rPr>
        <w:t xml:space="preserve">Vient ensuite un schéma explicatif des différentes étapes pour bien choisir sa pointure.</w:t>
      </w:r>
    </w:p>
    <w:p w:rsidR="00000000" w:rsidDel="00000000" w:rsidP="00000000" w:rsidRDefault="00000000" w:rsidRPr="00000000">
      <w:pPr>
        <w:contextualSpacing w:val="0"/>
        <w:jc w:val="both"/>
        <w:rPr/>
      </w:pPr>
      <w:r w:rsidDel="00000000" w:rsidR="00000000" w:rsidRPr="00000000">
        <w:rPr>
          <w:rtl w:val="0"/>
        </w:rPr>
        <w:t xml:space="preserve">Suivi d’un ou deux conseils.</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1-PHNTBtGRXEDjwy0S9GEC4wUMLZa4XCzeAfl_2uqwVE" TargetMode="External"/><Relationship Id="rId6" Type="http://schemas.openxmlformats.org/officeDocument/2006/relationships/hyperlink" Target="http://www.i-run.fr/trouver_votre_chaussure.html" TargetMode="External"/></Relationships>
</file>