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másodfokú-egyenlet-megoldóképlete"/>
    <w:p>
      <w:pPr>
        <w:pStyle w:val="Heading2"/>
      </w:pPr>
      <w:r>
        <w:t xml:space="preserve">A másodfokú egyenlet megoldóképlete</w:t>
      </w:r>
    </w:p>
    <w:p>
      <w:pPr>
        <w:pStyle w:val="FirstParagraph"/>
      </w:pPr>
      <w:r>
        <w:t xml:space="preserve">Ha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az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Cs/>
          <w:i/>
        </w:rPr>
        <w:t xml:space="preserve">általános másodfokú egyenlet</w:t>
      </w:r>
      <w:r>
        <w:t xml:space="preserve"> </w:t>
      </w:r>
      <w:r>
        <w:t xml:space="preserve">két megoldását az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rPr>
          <w:iCs/>
          <w:i/>
        </w:rPr>
        <w:t xml:space="preserve">megoldóképlet</w:t>
      </w:r>
      <w:r>
        <w:t xml:space="preserve"> </w:t>
      </w:r>
      <w:r>
        <w:t xml:space="preserve">adja.</w:t>
      </w:r>
    </w:p>
    <w:bookmarkEnd w:id="20"/>
    <w:bookmarkStart w:id="21" w:name="X569d7deaad770efe8ab35c862927dedce22b620"/>
    <w:p>
      <w:pPr>
        <w:pStyle w:val="Heading2"/>
      </w:pPr>
      <w:r>
        <w:t xml:space="preserve">További példák matematikai formulák beágyazására</w:t>
      </w:r>
    </w:p>
    <w:p>
      <w:pPr>
        <w:pStyle w:val="FirstParagraph"/>
      </w:pPr>
      <w:r>
        <w:t xml:space="preserve">Néhány</w:t>
      </w:r>
      <w:r>
        <w:t xml:space="preserve"> </w:t>
      </w:r>
      <w:r>
        <w:t xml:space="preserve">inline</w:t>
      </w:r>
      <w:r>
        <w:t xml:space="preserve"> </w:t>
      </w:r>
      <w:r>
        <w:t xml:space="preserve">matematikai formula:</w:t>
      </w:r>
    </w:p>
    <w:p>
      <w:pPr>
        <w:numPr>
          <w:ilvl w:val="0"/>
          <w:numId w:val="1001"/>
        </w:numPr>
        <w:pStyle w:val="Compact"/>
      </w:pPr>
      <w:r>
        <w:t xml:space="preserve">görög betűk: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,</m:t>
        </m:r>
        <m:r>
          <m:t>γ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tört: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sin</m:t>
            </m:r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r>
              <m:t>x</m:t>
            </m:r>
          </m:den>
        </m:f>
      </m:oMath>
      <w:r>
        <w:t xml:space="preserve"> </w:t>
      </w:r>
      <w:r>
        <w:t xml:space="preserve">és</w:t>
      </w:r>
    </w:p>
    <w:p>
      <w:pPr>
        <w:numPr>
          <w:ilvl w:val="0"/>
          <w:numId w:val="1001"/>
        </w:numPr>
        <w:pStyle w:val="Compact"/>
      </w:pPr>
      <w:r>
        <w:t xml:space="preserve">gyökös kifejezés:</w:t>
      </w:r>
      <w:r>
        <w:t xml:space="preserve"> </w:t>
      </w:r>
      <m:oMath>
        <m:rad>
          <m:radPr>
            <m:degHide m:val="1"/>
          </m:radPr>
          <m:deg/>
          <m:e>
            <m:f>
              <m:fPr>
                <m:type m:val="bar"/>
              </m:fPr>
              <m:num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exp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d>
              </m:num>
              <m:den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rad>
      </m:oMath>
    </w:p>
    <w:p>
      <w:pPr>
        <w:pStyle w:val="FirstParagraph"/>
      </w:pPr>
      <w:r>
        <w:t xml:space="preserve">Egy kiemelt képlet: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π</m:t>
              </m:r>
            </m:sup>
            <m:e>
              <m:r>
                <m:rPr>
                  <m:sty m:val="p"/>
                </m:rPr>
                <m:t>sin</m:t>
              </m:r>
            </m:e>
          </m:nary>
          <m:r>
            <m:t>x</m:t>
          </m:r>
          <m:r>
            <m:t> </m:t>
          </m:r>
          <m:r>
            <m:rPr>
              <m:sty m:val="p"/>
            </m:rPr>
            <m:t>d</m:t>
          </m:r>
          <m:r>
            <m:rPr>
              <m:sty m:val="p"/>
            </m:rPr>
            <m:t>x</m:t>
          </m:r>
          <m:r>
            <m:rPr>
              <m:sty m:val="p"/>
            </m:rPr>
            <m:t>=</m:t>
          </m:r>
          <m:r>
            <m:t>2</m:t>
          </m:r>
        </m:oMath>
      </m:oMathPara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2023-11-20T11:20:18Z</dcterms:created>
  <dcterms:modified xsi:type="dcterms:W3CDTF">2023-11-20T11:20:18Z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