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Do AI skills improve the output reproducibility of ecological analyses? Controlled experiments</w:t>
      </w:r>
    </w:p>
    <w:p>
      <w:pPr>
        <w:spacing w:after="40" w:line="336"/>
      </w:pPr>
      <w:r>
        <w:rPr>
          <w:rFonts w:ascii="Helvetica" w:cs="Helvetica" w:eastAsia="Helvetica" w:hAnsi="Helvetica"/>
          <w:color w:val="1F2937"/>
          <w:sz w:val="22"/>
          <w:szCs w:val="22"/>
        </w:rPr>
        <w:t xml:space="preserve">Fabio Favoretto¹*, Alberto Rivera², Eduardo León Solorzano³</w:t>
      </w:r>
    </w:p>
    <w:p>
      <w:pPr>
        <w:spacing w:after="20" w:line="336"/>
      </w:pPr>
      <w:r>
        <w:rPr>
          <w:rFonts w:ascii="Helvetica" w:cs="Helvetica" w:eastAsia="Helvetica" w:hAnsi="Helvetica"/>
          <w:color w:val="1F2937"/>
          <w:sz w:val="20"/>
          <w:szCs w:val="20"/>
        </w:rPr>
        <w:t xml:space="preserve">¹ School of Biological and Marine Science, University of Plymouth, Plymouth, UK</w:t>
      </w:r>
    </w:p>
    <w:p>
      <w:pPr>
        <w:spacing w:after="20" w:line="336"/>
      </w:pPr>
      <w:r>
        <w:rPr>
          <w:rFonts w:ascii="Helvetica" w:cs="Helvetica" w:eastAsia="Helvetica" w:hAnsi="Helvetica"/>
          <w:color w:val="1F2937"/>
          <w:sz w:val="20"/>
          <w:szCs w:val="20"/>
        </w:rPr>
        <w:t xml:space="preserve">² Scripps Institution of Oceanography, University of California San Diego, La Jolla, CA, USA</w:t>
      </w:r>
    </w:p>
    <w:p>
      <w:pPr>
        <w:spacing w:after="20" w:line="336"/>
      </w:pPr>
      <w:r>
        <w:rPr>
          <w:rFonts w:ascii="Helvetica" w:cs="Helvetica" w:eastAsia="Helvetica" w:hAnsi="Helvetica"/>
          <w:color w:val="1F2937"/>
          <w:sz w:val="20"/>
          <w:szCs w:val="20"/>
        </w:rPr>
        <w:t xml:space="preserve">³ Centro para la Biodiversidad Marina y la Conservación, A.C., La Paz, BCS, Mexico</w:t>
      </w:r>
    </w:p>
    <w:p>
      <w:pPr>
        <w:spacing w:after="40" w:line="336"/>
      </w:pPr>
      <w:r>
        <w:rPr>
          <w:rFonts w:ascii="Helvetica" w:cs="Helvetica" w:eastAsia="Helvetica" w:hAnsi="Helvetica"/>
          <w:color w:val="1F2937"/>
          <w:sz w:val="20"/>
          <w:szCs w:val="20"/>
        </w:rPr>
        <w:t xml:space="preserve">* Corresponding author: fabio.favoretto@plymouth.ac.uk</w:t>
      </w:r>
    </w:p>
    <w:p>
      <w:pPr>
        <w:spacing w:after="120" w:line="336"/>
      </w:pPr>
      <w:r>
        <w:rPr>
          <w:rFonts w:ascii="Helvetica" w:cs="Helvetica" w:eastAsia="Helvetica" w:hAnsi="Helvetica"/>
          <w:color w:val="1F2937"/>
          <w:sz w:val="20"/>
          <w:szCs w:val="20"/>
        </w:rPr>
        <w:t xml:space="preserve">Article type: Research Article. Target journal: Methods in Ecology and Evolution.</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Abstract</w:t>
      </w:r>
    </w:p>
    <w:p>
      <w:pPr>
        <w:spacing w:after="120" w:line="336"/>
      </w:pPr>
      <w:r>
        <w:rPr>
          <w:rFonts w:ascii="Helvetica" w:cs="Helvetica" w:eastAsia="Helvetica" w:hAnsi="Helvetica"/>
          <w:color w:val="1F2937"/>
          <w:sz w:val="22"/>
          <w:szCs w:val="22"/>
        </w:rPr>
        <w:t xml:space="preserve">1. Ecology and evolutionary biology have a reproducibility problem. It comes less from weak science than from analysis code that is missing, does not run, or is poorly documented. Large language models (LLMs) and agent tools are now used for ecological analysis. One way proposed to make this help reliable is to give the tools reusable, structured instructions, which we call skills. We do not yet know whether skills improve reproducibility, or which of their parts matter.</w:t>
      </w:r>
    </w:p>
    <w:p>
      <w:pPr>
        <w:spacing w:after="120" w:line="336"/>
      </w:pPr>
      <w:r>
        <w:rPr>
          <w:rFonts w:ascii="Helvetica" w:cs="Helvetica" w:eastAsia="Helvetica" w:hAnsi="Helvetica"/>
          <w:color w:val="1F2937"/>
          <w:sz w:val="22"/>
          <w:szCs w:val="22"/>
        </w:rPr>
        <w:t xml:space="preserve">2. We ran two controlled experiments, and we summarised the current literature to set the context. The first crossed four analysis tasks with five levels of skill detail, in two languages (Python and R), and repeated each combination ten times, for 400 runs in total. Each level adds one kind of instruction to the one before it, so we can see which part of a skill does the work, and the two languages let us check whether different code reaches the same answer. The second experiment raised the output from a single number to a whole data report and used an independent judge to check whether each report used the statistics the skill specifies.</w:t>
      </w:r>
    </w:p>
    <w:p>
      <w:pPr>
        <w:spacing w:after="120" w:line="336"/>
      </w:pPr>
      <w:r>
        <w:rPr>
          <w:rFonts w:ascii="Helvetica" w:cs="Helvetica" w:eastAsia="Helvetica" w:hAnsi="Helvetica"/>
          <w:color w:val="1F2937"/>
          <w:sz w:val="22"/>
          <w:szCs w:val="22"/>
        </w:rPr>
        <w:t xml:space="preserve">3. Reproducibility was already high when a task had one obvious way to do it. Where a task involved randomness, run to run variation disappeared only when the skill fixed the random seed and the data handling (agreement rose from 16 of 30 runs to 20 of 20; Fisher P = 2×10⁻⁴). On real reef fish data, plain runs were perfectly consistent but gave the wrong value, and the answer became correct only when the skill fixed how the survey unit was defined (from 0 of 20 correct to 30 of 30; P = 2×10⁻¹⁴). A long but vague skill did not help, and sometimes made things worse. In the report experiment, a full methods skill made reports use the specified statistics (coherence rose to 100%), and for a report whose analyses each had a real method fork it also restored agreement between independent reports from half to all.</w:t>
      </w:r>
    </w:p>
    <w:p>
      <w:pPr>
        <w:spacing w:after="120" w:line="336"/>
      </w:pPr>
      <w:r>
        <w:rPr>
          <w:rFonts w:ascii="Helvetica" w:cs="Helvetica" w:eastAsia="Helvetica" w:hAnsi="Helvetica"/>
          <w:color w:val="1F2937"/>
          <w:sz w:val="22"/>
          <w:szCs w:val="22"/>
        </w:rPr>
        <w:t xml:space="preserve">4. Skills improve reproducibility by removing choices, not by adding words, and the part that matters depends on the task. Fix the random settings when a task involves randomness, and fix the data and method definitions when a convention is unclear. Python and R gave the same answer for the three deterministic tasks, but not for the classifier, because the two languages use different random number generators, so a tolerance is needed when comparing across languages. We give a short, ordered set of rules for writing reproducible skills for ecology, together with an open experimental design that others can reuse.</w:t>
      </w:r>
    </w:p>
    <w:p>
      <w:pPr>
        <w:spacing w:after="120" w:before="120" w:line="336"/>
      </w:pPr>
      <w:r>
        <w:rPr>
          <w:rFonts w:ascii="Helvetica" w:cs="Helvetica" w:eastAsia="Helvetica" w:hAnsi="Helvetica"/>
          <w:color w:val="1F2937"/>
          <w:sz w:val="22"/>
          <w:szCs w:val="22"/>
        </w:rPr>
        <w:t xml:space="preserve">Keywords: reproducibility; large language models; agent skills; open science; FAIR; prompt engineering; workflow; conservation; marine ecology.</w:t>
      </w:r>
    </w:p>
    <w:p>
      <w:r>
        <w:br w:type="page"/>
      </w:r>
    </w:p>
    <w:p>
      <w:pPr>
        <w:pStyle w:val="Heading1"/>
      </w:pPr>
      <w:r>
        <w:rPr>
          <w:rFonts w:ascii="Helvetica" w:cs="Helvetica" w:eastAsia="Helvetica" w:hAnsi="Helvetica"/>
          <w:b/>
          <w:bCs/>
          <w:color w:val="111827"/>
          <w:sz w:val="34"/>
          <w:szCs w:val="34"/>
        </w:rPr>
        <w:t xml:space="preserve">1  Introduction</w:t>
      </w:r>
    </w:p>
    <w:p>
      <w:pPr>
        <w:spacing w:after="120" w:line="336"/>
      </w:pPr>
      <w:r>
        <w:rPr>
          <w:rFonts w:ascii="Helvetica" w:cs="Helvetica" w:eastAsia="Helvetica" w:hAnsi="Helvetica"/>
          <w:color w:val="1F2937"/>
          <w:sz w:val="22"/>
          <w:szCs w:val="22"/>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336"/>
      </w:pPr>
      <w:r>
        <w:rPr>
          <w:rFonts w:ascii="Helvetica" w:cs="Helvetica" w:eastAsia="Helvetica" w:hAnsi="Helvetica"/>
          <w:color w:val="1F2937"/>
          <w:sz w:val="22"/>
          <w:szCs w:val="22"/>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336"/>
      </w:pPr>
      <w:r>
        <w:rPr>
          <w:rFonts w:ascii="Helvetica" w:cs="Helvetica" w:eastAsia="Helvetica" w:hAnsi="Helvetica"/>
          <w:color w:val="1F2937"/>
          <w:sz w:val="22"/>
          <w:szCs w:val="22"/>
        </w:rPr>
        <w:t xml:space="preserve">One distinction frames this study.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336"/>
      </w:pPr>
      <w:r>
        <w:rPr>
          <w:rFonts w:ascii="Helvetica" w:cs="Helvetica" w:eastAsia="Helvetica" w:hAnsi="Helvetica"/>
          <w:color w:val="1F2937"/>
          <w:sz w:val="22"/>
          <w:szCs w:val="22"/>
        </w:rPr>
        <w:t xml:space="preserve">We first summarise what earlier work shows (Section 2). We then report two studies, one on a single analytical output (Sections 3 and 4) and one on a whole report (Section 5), and turn the results into practical guidance (Section 6). The experiments are the main contribution, and the literature review sets the context and is not a formal systematic review.</w:t>
      </w:r>
    </w:p>
    <w:p>
      <w:pPr>
        <w:pStyle w:val="Heading1"/>
      </w:pPr>
      <w:r>
        <w:rPr>
          <w:rFonts w:ascii="Helvetica" w:cs="Helvetica" w:eastAsia="Helvetica" w:hAnsi="Helvetica"/>
          <w:b/>
          <w:bCs/>
          <w:color w:val="111827"/>
          <w:sz w:val="34"/>
          <w:szCs w:val="34"/>
        </w:rPr>
        <w:t xml:space="preserve">2  Background from earlier work</w:t>
      </w:r>
    </w:p>
    <w:p>
      <w:pPr>
        <w:spacing w:after="120" w:line="336"/>
      </w:pPr>
      <w:r>
        <w:rPr>
          <w:rFonts w:ascii="Helvetica" w:cs="Helvetica" w:eastAsia="Helvetica" w:hAnsi="Helvetica"/>
          <w:color w:val="1F2937"/>
          <w:sz w:val="22"/>
          <w:szCs w:val="22"/>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336"/>
      </w:pPr>
      <w:r>
        <w:rPr>
          <w:rFonts w:ascii="Helvetica" w:cs="Helvetica" w:eastAsia="Helvetica" w:hAnsi="Helvetica"/>
          <w:color w:val="1F2937"/>
          <w:sz w:val="22"/>
          <w:szCs w:val="22"/>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336"/>
      </w:pPr>
      <w:r>
        <w:rPr>
          <w:rFonts w:ascii="Helvetica" w:cs="Helvetica" w:eastAsia="Helvetica" w:hAnsi="Helvetica"/>
          <w:color w:val="1F2937"/>
          <w:sz w:val="22"/>
          <w:szCs w:val="22"/>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336"/>
      </w:pPr>
      <w:r>
        <w:rPr>
          <w:rFonts w:ascii="Helvetica" w:cs="Helvetica" w:eastAsia="Helvetica" w:hAnsi="Helvetica"/>
          <w:color w:val="1F2937"/>
          <w:sz w:val="22"/>
          <w:szCs w:val="22"/>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336"/>
      </w:pPr>
      <w:r>
        <w:rPr>
          <w:rFonts w:ascii="Helvetica" w:cs="Helvetica" w:eastAsia="Helvetica" w:hAnsi="Helvetica"/>
          <w:color w:val="1F2937"/>
          <w:sz w:val="22"/>
          <w:szCs w:val="22"/>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336"/>
      </w:pPr>
      <w:r>
        <w:rPr>
          <w:rFonts w:ascii="Helvetica" w:cs="Helvetica" w:eastAsia="Helvetica" w:hAnsi="Helvetica"/>
          <w:color w:val="1F2937"/>
          <w:sz w:val="22"/>
          <w:szCs w:val="22"/>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 below tests the missing case directly.</w:t>
      </w:r>
    </w:p>
    <w:p>
      <w:r>
        <w:br w:type="page"/>
      </w:r>
    </w:p>
    <w:p>
      <w:pPr>
        <w:pStyle w:val="Heading1"/>
      </w:pPr>
      <w:r>
        <w:rPr>
          <w:rFonts w:ascii="Helvetica" w:cs="Helvetica" w:eastAsia="Helvetica" w:hAnsi="Helvetica"/>
          <w:b/>
          <w:bCs/>
          <w:color w:val="111827"/>
          <w:sz w:val="34"/>
          <w:szCs w:val="34"/>
        </w:rPr>
        <w:t xml:space="preserve">3  Study 1: materials and methods</w:t>
      </w:r>
    </w:p>
    <w:p>
      <w:pPr>
        <w:spacing w:after="120" w:line="336"/>
      </w:pPr>
      <w:r>
        <w:rPr>
          <w:rFonts w:ascii="Helvetica" w:cs="Helvetica" w:eastAsia="Helvetica" w:hAnsi="Helvetica"/>
          <w:color w:val="1F2937"/>
          <w:sz w:val="22"/>
          <w:szCs w:val="22"/>
        </w:rPr>
        <w:t xml:space="preserve">Study 1 tests reproducibility at the level of a single analytical output (one number per task). Study 2 (Section 5) raises this to a whole report.</w:t>
      </w:r>
    </w:p>
    <w:p>
      <w:pPr>
        <w:pStyle w:val="Heading2"/>
      </w:pPr>
      <w:r>
        <w:rPr>
          <w:rFonts w:ascii="Helvetica" w:cs="Helvetica" w:eastAsia="Helvetica" w:hAnsi="Helvetica"/>
          <w:b/>
          <w:bCs/>
          <w:color w:val="111827"/>
          <w:sz w:val="26"/>
          <w:szCs w:val="26"/>
        </w:rPr>
        <w:t xml:space="preserve">3.1  Rationale and hypotheses</w:t>
      </w:r>
    </w:p>
    <w:p>
      <w:pPr>
        <w:spacing w:after="120" w:line="336"/>
      </w:pPr>
      <w:r>
        <w:rPr>
          <w:rFonts w:ascii="Helvetica" w:cs="Helvetica" w:eastAsia="Helvetica" w:hAnsi="Helvetica"/>
          <w:color w:val="1F2937"/>
          <w:sz w:val="22"/>
          <w:szCs w:val="22"/>
        </w:rPr>
        <w:t xml:space="preserve">We expected that (H1) richer, more structured skills reduce run to run variation; (H2) the reduction comes from parts that fix the analysis (input and output contracts, fixed parameters and seeds, an explicit method, and warnings about mistakes) rather than from length; and (H3) reproducibility and validity are different, so a skill can make an analysis consistent without making it correct, and the reverse. To tell these apart we added one skill feature at a time, rather than comparing a single skill against no skill.</w:t>
      </w:r>
    </w:p>
    <w:p>
      <w:pPr>
        <w:pStyle w:val="Heading2"/>
      </w:pPr>
      <w:r>
        <w:rPr>
          <w:rFonts w:ascii="Helvetica" w:cs="Helvetica" w:eastAsia="Helvetica" w:hAnsi="Helvetica"/>
          <w:b/>
          <w:bCs/>
          <w:color w:val="111827"/>
          <w:sz w:val="26"/>
          <w:szCs w:val="26"/>
        </w:rPr>
        <w:t xml:space="preserve">3.2  Design</w:t>
      </w:r>
    </w:p>
    <w:p>
      <w:pPr>
        <w:spacing w:after="120" w:line="336"/>
      </w:pPr>
      <w:r>
        <w:rPr>
          <w:rFonts w:ascii="Helvetica" w:cs="Helvetica" w:eastAsia="Helvetica" w:hAnsi="Helvetica"/>
          <w:color w:val="1F2937"/>
          <w:sz w:val="22"/>
          <w:szCs w:val="22"/>
        </w:rPr>
        <w:t xml:space="preserve">We ran a fully crossed design of 4 tasks by 5 skill levels by 2 languages (Python and R) with 10 independent replicate runs per cell, giving 400 runs. Each run was a fresh autonomous LLM agent, a general-purpose coding agent built on the same underlying model, given the same prompt, told to run the analysis (Python or R) against a fixed local data file and return a structured result. Within a cell all 10 prompts were identical, so the only source of variation was the agent's own run to run stochasticity, which is the variation the literature describes. Runs were orchestrated independently, and no run could see another run's output. The two languages let us test a stronger form of reproducibility, namely whether independent implementations in different languages reach the same answer, which is results reproducibility in the sense of Goodman et al. (2016).</w:t>
      </w:r>
    </w:p>
    <w:p>
      <w:pPr>
        <w:pStyle w:val="Heading2"/>
      </w:pPr>
      <w:r>
        <w:rPr>
          <w:rFonts w:ascii="Helvetica" w:cs="Helvetica" w:eastAsia="Helvetica" w:hAnsi="Helvetica"/>
          <w:b/>
          <w:bCs/>
          <w:color w:val="111827"/>
          <w:sz w:val="26"/>
          <w:szCs w:val="26"/>
        </w:rPr>
        <w:t xml:space="preserve">3.3  Tasks and datasets</w:t>
      </w:r>
    </w:p>
    <w:p>
      <w:pPr>
        <w:spacing w:after="120" w:line="336"/>
      </w:pPr>
      <w:r>
        <w:rPr>
          <w:rFonts w:ascii="Helvetica" w:cs="Helvetica" w:eastAsia="Helvetica" w:hAnsi="Helvetica"/>
          <w:color w:val="1F2937"/>
          <w:sz w:val="22"/>
          <w:szCs w:val="22"/>
        </w:rPr>
        <w:t xml:space="preserve">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r>
    </w:tbl>
    <w:p>
      <w:pPr>
        <w:spacing w:after="160" w:line="300"/>
      </w:pPr>
      <w:r>
        <w:rPr>
          <w:rFonts w:ascii="Helvetica" w:cs="Helvetica" w:eastAsia="Helvetica" w:hAnsi="Helvetica"/>
          <w:i/>
          <w:iCs/>
          <w:color w:val="6B7280"/>
          <w:sz w:val="18"/>
          <w:szCs w:val="18"/>
        </w:rPr>
        <w:t xml:space="preserve">Table 1. The four analysis tasks. Each reference is the value from the fully specified recipe, computed independently. The T4 reference equals the value that the operational LTEM database tool reports for the same region and year.</w:t>
      </w:r>
    </w:p>
    <w:p>
      <w:pPr>
        <w:spacing w:after="120" w:line="336"/>
      </w:pPr>
      <w:r>
        <w:rPr>
          <w:rFonts w:ascii="Helvetica" w:cs="Helvetica" w:eastAsia="Helvetica" w:hAnsi="Helvetica"/>
          <w:color w:val="1F2937"/>
          <w:sz w:val="22"/>
          <w:szCs w:val="22"/>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Helvetica" w:cs="Helvetica" w:eastAsia="Helvetica" w:hAnsi="Helvetica"/>
          <w:b/>
          <w:bCs/>
          <w:color w:val="111827"/>
          <w:sz w:val="26"/>
          <w:szCs w:val="26"/>
        </w:rPr>
        <w:t xml:space="preserve">3.4  Skill levels</w:t>
      </w:r>
    </w:p>
    <w:p>
      <w:pPr>
        <w:spacing w:after="120" w:line="336"/>
      </w:pPr>
      <w:r>
        <w:rPr>
          <w:rFonts w:ascii="Helvetica" w:cs="Helvetica" w:eastAsia="Helvetica" w:hAnsi="Helvetica"/>
          <w:color w:val="1F2937"/>
          <w:sz w:val="22"/>
          <w:szCs w:val="22"/>
        </w:rPr>
        <w:t xml:space="preserve">The variable we changed was the content of an instruction block placed before the same task. Each level adds structure to the one before it, so the step between two levels shows what one skill feature contributes (Table 2). The full text of all 20 prompts (4 tasks by 5 levels) is in the Supporting Information (S5).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Warnings about mistakes</w:t>
            </w:r>
          </w:p>
        </w:tc>
      </w:tr>
    </w:tbl>
    <w:p>
      <w:pPr>
        <w:spacing w:after="160" w:line="300"/>
      </w:pPr>
      <w:r>
        <w:rPr>
          <w:rFonts w:ascii="Helvetica" w:cs="Helvetica" w:eastAsia="Helvetica" w:hAnsi="Helvetica"/>
          <w:i/>
          <w:iCs/>
          <w:color w:val="6B7280"/>
          <w:sz w:val="18"/>
          <w:szCs w:val="18"/>
        </w:rPr>
        <w:t xml:space="preserve">Table 2. The five skill levels, each adding to the one before it. This is the variable we changed.</w:t>
      </w:r>
    </w:p>
    <w:p>
      <w:pPr>
        <w:pStyle w:val="Heading2"/>
      </w:pPr>
      <w:r>
        <w:rPr>
          <w:rFonts w:ascii="Helvetica" w:cs="Helvetica" w:eastAsia="Helvetica" w:hAnsi="Helvetica"/>
          <w:b/>
          <w:bCs/>
          <w:color w:val="111827"/>
          <w:sz w:val="26"/>
          <w:szCs w:val="26"/>
        </w:rPr>
        <w:t xml:space="preserve">3.5  Outcome measures</w:t>
      </w:r>
    </w:p>
    <w:p>
      <w:pPr>
        <w:spacing w:after="120" w:line="336"/>
      </w:pPr>
      <w:r>
        <w:rPr>
          <w:rFonts w:ascii="Helvetica" w:cs="Helvetica" w:eastAsia="Helvetica" w:hAnsi="Helvetica"/>
          <w:color w:val="1F2937"/>
          <w:sz w:val="22"/>
          <w:szCs w:val="22"/>
        </w:rPr>
        <w:t xml:space="preserve">For each cell we scored two things across the 10 runs. For run to run reproducibility we used the standard deviation (SD) and the coefficient of variation of the main output, the number of distinct answers within a set tolerance, and the exact-match rate, meaning the share of runs equal to the most common answer. For validity we used the share of runs whose output matched the independent reference within tolerance. We also recorded the most common method, test, or model, and for T1 the reported sign. Tolerances were 10⁻³ for correlation, accuracy, and η², and 10⁻² (biomass units) for T4.</w:t>
      </w:r>
    </w:p>
    <w:p>
      <w:pPr>
        <w:pStyle w:val="Heading2"/>
      </w:pPr>
      <w:r>
        <w:rPr>
          <w:rFonts w:ascii="Helvetica" w:cs="Helvetica" w:eastAsia="Helvetica" w:hAnsi="Helvetica"/>
          <w:b/>
          <w:bCs/>
          <w:color w:val="111827"/>
          <w:sz w:val="26"/>
          <w:szCs w:val="26"/>
        </w:rPr>
        <w:t xml:space="preserve">3.6  Statistical analysis</w:t>
      </w:r>
    </w:p>
    <w:p>
      <w:pPr>
        <w:spacing w:after="120" w:line="336"/>
      </w:pPr>
      <w:r>
        <w:rPr>
          <w:rFonts w:ascii="Helvetica" w:cs="Helvetica" w:eastAsia="Helvetica" w:hAnsi="Helvetica"/>
          <w:color w:val="1F2937"/>
          <w:sz w:val="22"/>
          <w:szCs w:val="22"/>
        </w:rPr>
        <w:t xml:space="preserve">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in the Data availability section.</w:t>
      </w:r>
    </w:p>
    <w:p>
      <w:pPr>
        <w:pStyle w:val="Heading2"/>
      </w:pPr>
      <w:r>
        <w:rPr>
          <w:rFonts w:ascii="Helvetica" w:cs="Helvetica" w:eastAsia="Helvetica" w:hAnsi="Helvetica"/>
          <w:b/>
          <w:bCs/>
          <w:color w:val="111827"/>
          <w:sz w:val="26"/>
          <w:szCs w:val="26"/>
        </w:rPr>
        <w:t xml:space="preserve">3.7  Openness</w:t>
      </w:r>
    </w:p>
    <w:p>
      <w:pPr>
        <w:spacing w:after="120" w:line="336"/>
      </w:pPr>
      <w:r>
        <w:rPr>
          <w:rFonts w:ascii="Helvetica" w:cs="Helvetica" w:eastAsia="Helvetica" w:hAnsi="Helvetica"/>
          <w:color w:val="1F2937"/>
          <w:sz w:val="22"/>
          <w:szCs w:val="22"/>
        </w:rPr>
        <w:t xml:space="preserve">The experiment is self-contained and can be re-run. The three data files, all 40 prompts (20 for Python and 20 for R), the two orchestration scripts that launched the 400 runs, every run's structured output, and the analysis scripts that regenerate all tables and figures are archived (see Data availability and Supporting Information S5 to S8).</w:t>
      </w:r>
    </w:p>
    <w:p>
      <w:r>
        <w:br w:type="page"/>
      </w:r>
    </w:p>
    <w:p>
      <w:pPr>
        <w:pStyle w:val="Heading1"/>
      </w:pPr>
      <w:r>
        <w:rPr>
          <w:rFonts w:ascii="Helvetica" w:cs="Helvetica" w:eastAsia="Helvetica" w:hAnsi="Helvetica"/>
          <w:b/>
          <w:bCs/>
          <w:color w:val="111827"/>
          <w:sz w:val="34"/>
          <w:szCs w:val="34"/>
        </w:rPr>
        <w:t xml:space="preserve">4  Study 1: results</w:t>
      </w:r>
    </w:p>
    <w:p>
      <w:pPr>
        <w:spacing w:after="120" w:line="336"/>
      </w:pPr>
      <w:r>
        <w:rPr>
          <w:rFonts w:ascii="Helvetica" w:cs="Helvetica" w:eastAsia="Helvetica" w:hAnsi="Helvetica"/>
          <w:color w:val="1F2937"/>
          <w:sz w:val="22"/>
          <w:szCs w:val="22"/>
        </w:rPr>
        <w:t xml:space="preserve">All 200 runs finished (10 per cell). Table 3 gives reproducibility and validity by task and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60"/>
        <w:gridCol w:w="1400"/>
        <w:gridCol w:w="1200"/>
        <w:gridCol w:w="1100"/>
      </w:tblGrid>
      <w:tr>
        <w:trPr>
          <w:tblHeader/>
        </w:trPr>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1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SD</w:t>
            </w:r>
          </w:p>
        </w:tc>
        <w:tc>
          <w:tcPr>
            <w:tcW w:type="dxa" w:w="12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Distinct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Exact-match</w:t>
            </w:r>
          </w:p>
        </w:tc>
        <w:tc>
          <w:tcPr>
            <w:tcW w:type="dxa" w:w="1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Validity</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Diff. from ref.</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clf</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0.0061</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2</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0.0090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0.012</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0.0086</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40%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0.005</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bl>
    <w:p>
      <w:pPr>
        <w:spacing w:after="160" w:line="300"/>
      </w:pPr>
      <w:r>
        <w:rPr>
          <w:rFonts w:ascii="Helvetica" w:cs="Helvetica" w:eastAsia="Helvetica" w:hAnsi="Helvetica"/>
          <w:i/>
          <w:iCs/>
          <w:color w:val="6B7280"/>
          <w:sz w:val="18"/>
          <w:szCs w:val="18"/>
        </w:rPr>
        <w:t xml:space="preserve">Table 3. Output reproducibility and validity by task and level (10 runs per cell). SD and the difference from the reference are in the units of each task.</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pStyle w:val="Heading2"/>
      </w:pPr>
      <w:r>
        <w:rPr>
          <w:rFonts w:ascii="Helvetica" w:cs="Helvetica" w:eastAsia="Helvetica" w:hAnsi="Helvetica"/>
          <w:b/>
          <w:bCs/>
          <w:color w:val="111827"/>
          <w:sz w:val="26"/>
          <w:szCs w:val="26"/>
        </w:rPr>
        <w:t xml:space="preserve">4.1  Reproducibility was high by default, except where a task involved randomness</w:t>
      </w:r>
    </w:p>
    <w:p>
      <w:pPr>
        <w:spacing w:after="120" w:line="336"/>
      </w:pPr>
      <w:r>
        <w:rPr>
          <w:rFonts w:ascii="Helvetica" w:cs="Helvetica" w:eastAsia="Helvetica" w:hAnsi="Helvetica"/>
          <w:color w:val="1F2937"/>
          <w:sz w:val="22"/>
          <w:szCs w:val="22"/>
        </w:rPr>
        <w:t xml:space="preserve">Three of the four tasks (T1, T3, T4) were 100% reproducible at every level, including no skill. Agents settled on one common approach (pooled Pearson correlation, one-way ANOVA with η², and summing biomass within a transect). The mistake of averaging biomass across rows, which is about 30 times too low, was never made, even at C0. The only task with leftover run to run variation was the stochastic classifier T2 (Figure 2).</w:t>
      </w:r>
    </w:p>
    <w:p>
      <w:pPr>
        <w:spacing w:after="80" w:before="120"/>
        <w:jc w:val="center"/>
      </w:pPr>
      <w:r>
        <w:drawing>
          <wp:inline distT="0" distB="0" distL="0" distR="0">
            <wp:extent cx="5715000" cy="2190750"/>
            <wp:effectExtent t="0" r="0" b="0" l="0"/>
            <wp:docPr id="1" name="Reproducibility gradient by condition" descr="Reproducibility gradient by condition" title="Reproducibility gradient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907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2. Run to run standard deviation (left) and coefficient of variation (right) by level, one line per task. Only T2 (orange) shows variation. It rises slightly at C1, where a basic skill is no better than none, and drops to zero at C3. T1, T3, and T4 sit on the zero line.</w:t>
      </w:r>
    </w:p>
    <w:p>
      <w:pPr>
        <w:pStyle w:val="Heading2"/>
      </w:pPr>
      <w:r>
        <w:rPr>
          <w:rFonts w:ascii="Helvetica" w:cs="Helvetica" w:eastAsia="Helvetica" w:hAnsi="Helvetica"/>
          <w:b/>
          <w:bCs/>
          <w:color w:val="111827"/>
          <w:sz w:val="26"/>
          <w:szCs w:val="26"/>
        </w:rPr>
        <w:t xml:space="preserve">4.2  Fixing the random settings removed the variation (T2)</w:t>
      </w:r>
    </w:p>
    <w:p>
      <w:pPr>
        <w:spacing w:after="120" w:line="336"/>
      </w:pPr>
      <w:r>
        <w:rPr>
          <w:rFonts w:ascii="Helvetica" w:cs="Helvetica" w:eastAsia="Helvetica" w:hAnsi="Helvetica"/>
          <w:color w:val="1F2937"/>
          <w:sz w:val="22"/>
          <w:szCs w:val="22"/>
        </w:rPr>
        <w:t xml:space="preserve">For T2, fixing the method (C2) was not enough. With the model fixed but the seed, split, and scaling still free, runs gave three distinct accuracies and only 50% agreement. Adding the random settings at C3 brought the variation to zero, and all 20 runs at C3 and C4 were identical and equal to the reference. Pooled run to run agreement rose from 16 of 30 at the low-skill levels (C0 to C2) to 20 of 20 at the high-skill levels (C3 and C4) (Fisher's exact P = 2.2×10⁻⁴). The pooled low-skill SD was 0.0086, with a bootstrap 95% confidence interval of [0.0063, 0.0109] that excludes zero, against exactly 0.0000 at high skill. Validity rose in step, from 12 of 30 to 20 of 20 (P = 8.4×10⁻⁶). The random seed and the related data handling are therefore the most useful skill parts for a task that involves randomness, and no lower level replaces them.</w:t>
      </w:r>
    </w:p>
    <w:p>
      <w:pPr>
        <w:pStyle w:val="Heading2"/>
      </w:pPr>
      <w:r>
        <w:rPr>
          <w:rFonts w:ascii="Helvetica" w:cs="Helvetica" w:eastAsia="Helvetica" w:hAnsi="Helvetica"/>
          <w:b/>
          <w:bCs/>
          <w:color w:val="111827"/>
          <w:sz w:val="26"/>
          <w:szCs w:val="26"/>
        </w:rPr>
        <w:t xml:space="preserve">4.3  Reproducible is not the same as correct (T4)</w:t>
      </w:r>
    </w:p>
    <w:p>
      <w:pPr>
        <w:spacing w:after="120" w:line="336"/>
      </w:pPr>
      <w:r>
        <w:rPr>
          <w:rFonts w:ascii="Helvetica" w:cs="Helvetica" w:eastAsia="Helvetica" w:hAnsi="Helvetica"/>
          <w:color w:val="1F2937"/>
          <w:sz w:val="22"/>
          <w:szCs w:val="22"/>
        </w:rPr>
        <w:t xml:space="preserve">The reef fish biomass task separated the two outcomes clearly. It was fully reproducible at every level, with all 10 runs identical in each cell, yet wrong under no skill or a basic skill. All 20 low-skill runs agreed on 3.2952, because they defined the survey unit as reef by habitat by transect, while the reference is 3.4642 (reef by transect). The fix came from the input and method contract at C2, which set the survey unit, and not from the seed (not relevant here) or the do-not rules. Validity rose from 0 of 20 before the contract (C0 and C1) to 30 of 30 with the contract and above (C2 to C4) (Fisher's exact P = 2.1×10⁻¹⁴), while reproducibility stayed at 100% throughout. A consistent pipeline can consistently give the wrong number, and only a clear contract points it at the intended quantity.</w:t>
      </w:r>
    </w:p>
    <w:p>
      <w:pPr>
        <w:pStyle w:val="Heading2"/>
      </w:pPr>
      <w:r>
        <w:rPr>
          <w:rFonts w:ascii="Helvetica" w:cs="Helvetica" w:eastAsia="Helvetica" w:hAnsi="Helvetica"/>
          <w:b/>
          <w:bCs/>
          <w:color w:val="111827"/>
          <w:sz w:val="26"/>
          <w:szCs w:val="26"/>
        </w:rPr>
        <w:t xml:space="preserve">4.4  A long but vague skill did not help, and could hurt (T2)</w:t>
      </w:r>
    </w:p>
    <w:p>
      <w:pPr>
        <w:spacing w:after="120" w:line="336"/>
      </w:pPr>
      <w:r>
        <w:rPr>
          <w:rFonts w:ascii="Helvetica" w:cs="Helvetica" w:eastAsia="Helvetica" w:hAnsi="Helvetica"/>
          <w:color w:val="1F2937"/>
          <w:sz w:val="22"/>
          <w:szCs w:val="22"/>
        </w:rPr>
        <w:t xml:space="preserve">Adding a long but vague skill (C1) did not improve T2 and, on balance, made it worse. Run to run SD rose from 0.006 (C0) to 0.009 (C1), and validity fell from 50% to 30%, because the instruction to train a classifier invited a free choice of model. Agents drifted to a random forest with varied splits, which moved results away from the reference. Length was not the active part; constraint was. A separate iris classifier task showed the same pattern more strongly, with a basic-skill SD of 0.044 against 0.000 for the fully specified skill.</w:t>
      </w:r>
    </w:p>
    <w:p>
      <w:pPr>
        <w:pStyle w:val="Heading2"/>
      </w:pPr>
      <w:r>
        <w:rPr>
          <w:rFonts w:ascii="Helvetica" w:cs="Helvetica" w:eastAsia="Helvetica" w:hAnsi="Helvetica"/>
          <w:b/>
          <w:bCs/>
          <w:color w:val="111827"/>
          <w:sz w:val="26"/>
          <w:szCs w:val="26"/>
        </w:rPr>
        <w:t xml:space="preserve">4.5  Richer skills did not harm the fully specified results</w:t>
      </w:r>
    </w:p>
    <w:p>
      <w:pPr>
        <w:spacing w:after="120" w:line="336"/>
      </w:pPr>
      <w:r>
        <w:rPr>
          <w:rFonts w:ascii="Helvetica" w:cs="Helvetica" w:eastAsia="Helvetica" w:hAnsi="Helvetica"/>
          <w:color w:val="1F2937"/>
          <w:sz w:val="22"/>
          <w:szCs w:val="22"/>
        </w:rPr>
        <w:t xml:space="preserve">The two richest levels (C3 and C4) reached 100% reproducibility and 100% validity on every task. The check list and the do-not rules added at C4 caused no measurable harm where they were not the deciding factor, and they act as low-cost insurance against the traps in each task (a within-species correlation, a row-level biomass mean, and a dropped seed).</w:t>
      </w:r>
    </w:p>
    <w:p>
      <w:pPr>
        <w:pStyle w:val="Heading2"/>
      </w:pPr>
      <w:r>
        <w:rPr>
          <w:rFonts w:ascii="Helvetica" w:cs="Helvetica" w:eastAsia="Helvetica" w:hAnsi="Helvetica"/>
          <w:b/>
          <w:bCs/>
          <w:color w:val="111827"/>
          <w:sz w:val="26"/>
          <w:szCs w:val="26"/>
        </w:rPr>
        <w:t xml:space="preserve">4.6  The same pattern holds in R, and the deterministic tasks agree across languages</w:t>
      </w:r>
    </w:p>
    <w:p>
      <w:pPr>
        <w:spacing w:after="120" w:line="336"/>
      </w:pPr>
      <w:r>
        <w:rPr>
          <w:rFonts w:ascii="Helvetica" w:cs="Helvetica" w:eastAsia="Helvetica" w:hAnsi="Helvetica"/>
          <w:color w:val="1F2937"/>
          <w:sz w:val="22"/>
          <w:szCs w:val="22"/>
        </w:rPr>
        <w:t xml:space="preserve">The R runs repeated the Python pattern (Figure 3). In R, T1 and T3 were reproducible and correct at every level, T4 was reproducible but wrong until the contract at C2, and the classifier T2 varied at the low levels and then dropped to zero variation at C3. So the main results do not depend on the language.</w:t>
      </w:r>
    </w:p>
    <w:p>
      <w:pPr>
        <w:spacing w:after="120" w:line="336"/>
      </w:pPr>
      <w:r>
        <w:rPr>
          <w:rFonts w:ascii="Helvetica" w:cs="Helvetica" w:eastAsia="Helvetica" w:hAnsi="Helvetica"/>
          <w:color w:val="1F2937"/>
          <w:sz w:val="22"/>
          <w:szCs w:val="22"/>
        </w:rPr>
        <w:t xml:space="preserve">Comparing the two languages directly is the stronger test (Table 4). For the three deterministic tasks, Python and R gave the same value at every level, to the tolerance used. This held even where the value was wrong. On the biomass task, both languages agreed on 3.2952 at the low levels, so the two independent implementations reproduced the same wrong number, and both moved to 3.4642 once the contract set the survey unit. The classifier was the only task where Python and R did not match. Their fully specified values (0.8806 and 0.8657) differ by about 0.015, because scikit-learn and R use different models and different random number generators. Each language was still perfectly reproducible within itself once the seed was fixed, but they cannot be made bit-for-bit equal across languages, so a cross-language comparison of a random method has to use a tolerance rather than exact 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100"/>
        <w:gridCol w:w="2460"/>
      </w:tblGrid>
      <w:tr>
        <w:trPr>
          <w:tblHeader/>
        </w:trPr>
        <w:tc>
          <w:tcPr>
            <w:tcW w:type="dxa" w:w="26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2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Python (full skill)</w:t>
            </w:r>
          </w:p>
        </w:tc>
        <w:tc>
          <w:tcPr>
            <w:tcW w:type="dxa" w:w="2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 (full skill)</w:t>
            </w:r>
          </w:p>
        </w:tc>
        <w:tc>
          <w:tcPr>
            <w:tcW w:type="dxa" w:w="24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Same across languages?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correlation</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classifier</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0.8657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No (differ by ~0.015)</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 (η²)</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bl>
    <w:p>
      <w:pPr>
        <w:spacing w:after="160" w:line="300"/>
      </w:pPr>
      <w:r>
        <w:rPr>
          <w:rFonts w:ascii="Helvetica" w:cs="Helvetica" w:eastAsia="Helvetica" w:hAnsi="Helvetica"/>
          <w:i/>
          <w:iCs/>
          <w:color w:val="6B7280"/>
          <w:sz w:val="18"/>
          <w:szCs w:val="18"/>
        </w:rPr>
        <w:t xml:space="preserve">Table 4. Cross-language comparison at the full skill level (C4). The three deterministic tasks agree exactly. The classifier does not, because the two languages use different models and random number generators.</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3. Output by skill level in Python (blue) and R (red), 10 runs per cell per language. Dashed lines show the reference for each language. T1, T3, and T4 sit on one shared line in both languages, including the wrong value (3.2952) for T4 at C0 and C1. T2 sits on two different lines, because the Python and R classifiers do not give the same accuracy.</w:t>
      </w:r>
    </w:p>
    <w:p>
      <w:r>
        <w:br w:type="page"/>
      </w:r>
    </w:p>
    <w:p>
      <w:pPr>
        <w:pStyle w:val="Heading1"/>
      </w:pPr>
      <w:r>
        <w:rPr>
          <w:rFonts w:ascii="Helvetica" w:cs="Helvetica" w:eastAsia="Helvetica" w:hAnsi="Helvetica"/>
          <w:b/>
          <w:bCs/>
          <w:color w:val="111827"/>
          <w:sz w:val="34"/>
          <w:szCs w:val="34"/>
        </w:rPr>
        <w:t xml:space="preserve">5  Study 2: reproducibility of a whole report</w:t>
      </w:r>
    </w:p>
    <w:p>
      <w:pPr>
        <w:spacing w:after="120" w:line="336"/>
      </w:pPr>
      <w:r>
        <w:rPr>
          <w:rFonts w:ascii="Helvetica" w:cs="Helvetica" w:eastAsia="Helvetica" w:hAnsi="Helvetica"/>
          <w:color w:val="1F2937"/>
          <w:sz w:val="22"/>
          <w:szCs w:val="22"/>
        </w:rPr>
        <w:t xml:space="preserve">Study 1 measured a single number. A real deliverable is usually a report with several analyses and written conclusions. Study 2 asks the same two questions for a whole report. Does the report use the statistics the skill specifies, which we call coherence, and do independent reports agree with each other, which is report reproducibility.</w:t>
      </w:r>
    </w:p>
    <w:p>
      <w:pPr>
        <w:pStyle w:val="Heading2"/>
      </w:pPr>
      <w:r>
        <w:rPr>
          <w:rFonts w:ascii="Helvetica" w:cs="Helvetica" w:eastAsia="Helvetica" w:hAnsi="Helvetica"/>
          <w:b/>
          <w:bCs/>
          <w:color w:val="111827"/>
          <w:sz w:val="26"/>
          <w:szCs w:val="26"/>
        </w:rPr>
        <w:t xml:space="preserve">5.1  Design</w:t>
      </w:r>
    </w:p>
    <w:p>
      <w:pPr>
        <w:spacing w:after="120" w:line="336"/>
      </w:pPr>
      <w:r>
        <w:rPr>
          <w:rFonts w:ascii="Helvetica" w:cs="Helvetica" w:eastAsia="Helvetica" w:hAnsi="Helvetica"/>
          <w:color w:val="1F2937"/>
          <w:sz w:val="22"/>
          <w:szCs w:val="22"/>
        </w:rPr>
        <w:t xml:space="preserve">Agents wrote a short data report on the Palmer Penguins dataset that answered several questions and ended with a conclusion. We used two versions. A standard report asked four common questions (a correlation, a group difference with an effect size, a sex-prediction accuracy, and per-species means). A hard report asked six questions that each have a real method fork, namely how many clusters to use, cross-validation or a single split for the accuracy, which predictors to put in a body-mass model, a t interval or a bootstrap for a confidence interval, a pooled or a within-species correlation, and whether to standardise before a principal component analysis. Each version had three conditions, which were no skill, a structure-only skill that fixes the sections but not the statistics, and a full skill that fixes the exact method, parameters, and missing-data rule for every question, with 8 reports per condition. A second judge agent then graded each report against one fixed rubric, the same rubric for every condition, and scored how many of the specified methods the report actually used. Reference values were computed independently. Full materials are in the Supporting Information and the repository.</w:t>
      </w:r>
    </w:p>
    <w:p>
      <w:pPr>
        <w:pStyle w:val="Heading2"/>
      </w:pPr>
      <w:r>
        <w:rPr>
          <w:rFonts w:ascii="Helvetica" w:cs="Helvetica" w:eastAsia="Helvetica" w:hAnsi="Helvetica"/>
          <w:b/>
          <w:bCs/>
          <w:color w:val="111827"/>
          <w:sz w:val="26"/>
          <w:szCs w:val="26"/>
        </w:rPr>
        <w:t xml:space="preserve">5.2  Results</w:t>
      </w:r>
    </w:p>
    <w:p>
      <w:pPr>
        <w:spacing w:after="120" w:line="336"/>
      </w:pPr>
      <w:r>
        <w:rPr>
          <w:rFonts w:ascii="Helvetica" w:cs="Helvetica" w:eastAsia="Helvetica" w:hAnsi="Helvetica"/>
          <w:color w:val="1F2937"/>
          <w:sz w:val="22"/>
          <w:szCs w:val="22"/>
        </w:rPr>
        <w:t xml:space="preserve">For the standard report, the reports were fully reproducible in every condition. Eight independent agents produced the same numbers and the same conclusions even with no skill, so reproducibility was already high and the skill did not need to fix it. What the skill fixed was coherence and validity. Coherence rose from 79% with no skill to 100% with the full skill, and validity from 75% to 100%. Without the full skill, every report used the machine-learning library's default 75/25 split for the classifier instead of the specified 80/20 split, so the reports were reproducible but wrong. The structure-only skill fixed the layout but not the statistics.</w:t>
      </w:r>
    </w:p>
    <w:p>
      <w:pPr>
        <w:spacing w:after="120" w:line="336"/>
      </w:pPr>
      <w:r>
        <w:rPr>
          <w:rFonts w:ascii="Helvetica" w:cs="Helvetica" w:eastAsia="Helvetica" w:hAnsi="Helvetica"/>
          <w:color w:val="1F2937"/>
          <w:sz w:val="22"/>
          <w:szCs w:val="22"/>
        </w:rPr>
        <w:t xml:space="preserve">The hard report, where each analysis has a real fork, tells the fuller story (Table 5, Figure 4). Now reproducibility broke as well. Without the skill, independent reports agreed on all of their numbers only half of the time (whole-report agreement 50%), coherence was 58%, and validity 56%. The full skill returned all three to 100%. Two kinds of failure appeared. Some analyses diverged from run to run, for example the species-accuracy question, where different reports used random forests, discriminant analysis, or logistic regression with different validation. Other analyses were reproducible but wrong, for example the clustering, where every no-skill report chose two clusters (the value that maximises the silhouette score) instead of the three species the skill specifies, and the body-mass model, where most reports added species and reached a higher R-squared. As in Study 1, the skill changed the outcome only where the default differed. Three of the six analyses did not diverge, because the agents' own default already matched the specified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900"/>
        <w:gridCol w:w="2000"/>
        <w:gridCol w:w="1900"/>
      </w:tblGrid>
      <w:tr>
        <w:trPr>
          <w:tblHeader/>
        </w:trPr>
        <w:tc>
          <w:tcPr>
            <w:tcW w:type="dxa" w:w="35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Metric</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No skill</w:t>
            </w:r>
          </w:p>
        </w:tc>
        <w:tc>
          <w:tcPr>
            <w:tcW w:type="dxa" w:w="2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Structure skill</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Full skill</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Skill coherence (uses the specified statistics)</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58%</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69%</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Report reproducibility (all numbers agree)</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Validity (numbers match the reference)</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56%</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61%</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bl>
    <w:p>
      <w:pPr>
        <w:spacing w:after="160" w:line="300"/>
      </w:pPr>
      <w:r>
        <w:rPr>
          <w:rFonts w:ascii="Helvetica" w:cs="Helvetica" w:eastAsia="Helvetica" w:hAnsi="Helvetica"/>
          <w:i/>
          <w:iCs/>
          <w:color w:val="6B7280"/>
          <w:sz w:val="18"/>
          <w:szCs w:val="18"/>
        </w:rPr>
        <w:t xml:space="preserve">Table 5. Hard report with six forky analyses, 8 reports per condition. Only the full methods skill made the report coherent, reproducible, and valid at the same time.</w:t>
      </w:r>
    </w:p>
    <w:p>
      <w:pPr>
        <w:spacing w:after="80" w:before="120"/>
        <w:jc w:val="center"/>
      </w:pPr>
      <w:r>
        <w:drawing>
          <wp:inline distT="0" distB="0" distL="0" distR="0">
            <wp:extent cx="6096000" cy="2438400"/>
            <wp:effectExtent t="0" r="0" b="0" l="0"/>
            <wp:docPr id="1" name="Hard report results" descr="Hard report results" title="Hard repor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4384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4. Hard report results. Left: skill coherence, whole-report agreement, and validity by condition. Right: agreement across runs for each of the six analyses. The species-accuracy and body-mass questions diverge without the skill, while the other four do not, because their default already matched the specified method.</w:t>
      </w:r>
    </w:p>
    <w:p>
      <w:r>
        <w:br w:type="page"/>
      </w:r>
    </w:p>
    <w:p>
      <w:pPr>
        <w:pStyle w:val="Heading1"/>
      </w:pPr>
      <w:r>
        <w:rPr>
          <w:rFonts w:ascii="Helvetica" w:cs="Helvetica" w:eastAsia="Helvetica" w:hAnsi="Helvetica"/>
          <w:b/>
          <w:bCs/>
          <w:color w:val="111827"/>
          <w:sz w:val="34"/>
          <w:szCs w:val="34"/>
        </w:rPr>
        <w:t xml:space="preserve">6  Discussion</w:t>
      </w:r>
    </w:p>
    <w:p>
      <w:pPr>
        <w:pStyle w:val="Heading2"/>
      </w:pPr>
      <w:r>
        <w:rPr>
          <w:rFonts w:ascii="Helvetica" w:cs="Helvetica" w:eastAsia="Helvetica" w:hAnsi="Helvetica"/>
          <w:b/>
          <w:bCs/>
          <w:color w:val="111827"/>
          <w:sz w:val="26"/>
          <w:szCs w:val="26"/>
        </w:rPr>
        <w:t xml:space="preserve">6.1  Skills work by removing choices, and the part that matters depends on the task</w:t>
      </w:r>
    </w:p>
    <w:p>
      <w:pPr>
        <w:spacing w:after="120" w:line="336"/>
      </w:pPr>
      <w:r>
        <w:rPr>
          <w:rFonts w:ascii="Helvetica" w:cs="Helvetica" w:eastAsia="Helvetica" w:hAnsi="Helvetica"/>
          <w:color w:val="1F2937"/>
          <w:sz w:val="22"/>
          <w:szCs w:val="22"/>
        </w:rPr>
        <w:t xml:space="preserve">The experiment gives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(C1) was the weakest of the skilled levels. A good skill finds the specific free choice that makes a task diverge and removes it.</w:t>
      </w:r>
    </w:p>
    <w:p>
      <w:pPr>
        <w:pStyle w:val="Heading2"/>
      </w:pPr>
      <w:r>
        <w:rPr>
          <w:rFonts w:ascii="Helvetica" w:cs="Helvetica" w:eastAsia="Helvetica" w:hAnsi="Helvetica"/>
          <w:b/>
          <w:bCs/>
          <w:color w:val="111827"/>
          <w:sz w:val="26"/>
          <w:szCs w:val="26"/>
        </w:rPr>
        <w:t xml:space="preserve">6.2  What a skill should contain to improve output reproducibility</w:t>
      </w:r>
    </w:p>
    <w:p>
      <w:pPr>
        <w:spacing w:after="120" w:line="336"/>
      </w:pPr>
      <w:r>
        <w:rPr>
          <w:rFonts w:ascii="Helvetica" w:cs="Helvetica" w:eastAsia="Helvetica" w:hAnsi="Helvetica"/>
          <w:color w:val="1F2937"/>
          <w:sz w:val="22"/>
          <w:szCs w:val="22"/>
        </w:rPr>
        <w:t xml:space="preserve">Bringing the experiment together with the literature, we rank skill parts by what they contributed here. The order depends on the task's main source of variation, which the author should identify first.</w:t>
      </w:r>
    </w:p>
    <w:p>
      <w:pPr>
        <w:pStyle w:val="ListParagraph"/>
        <w:numPr>
          <w:ilvl w:val="0"/>
          <w:numId w:val="2"/>
        </w:numPr>
        <w:spacing w:after="60" w:line="320"/>
      </w:pPr>
      <w:r>
        <w:rPr>
          <w:rFonts w:ascii="Helvetica" w:cs="Helvetica" w:eastAsia="Helvetica" w:hAnsi="Helvetica"/>
          <w:color w:val="1F2937"/>
          <w:sz w:val="22"/>
          <w:szCs w:val="22"/>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320"/>
      </w:pPr>
      <w:r>
        <w:rPr>
          <w:rFonts w:ascii="Helvetica" w:cs="Helvetica" w:eastAsia="Helvetica" w:hAnsi="Helvetica"/>
          <w:color w:val="1F2937"/>
          <w:sz w:val="22"/>
          <w:szCs w:val="22"/>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320"/>
      </w:pPr>
      <w:r>
        <w:rPr>
          <w:rFonts w:ascii="Helvetica" w:cs="Helvetica" w:eastAsia="Helvetica" w:hAnsi="Helvetica"/>
          <w:color w:val="1F2937"/>
          <w:sz w:val="22"/>
          <w:szCs w:val="22"/>
        </w:rPr>
        <w:t xml:space="preserve">State a reference value and a tolerance, so reproducible can be checked against correct, and not only against other runs.</w:t>
      </w:r>
    </w:p>
    <w:p>
      <w:pPr>
        <w:pStyle w:val="ListParagraph"/>
        <w:numPr>
          <w:ilvl w:val="0"/>
          <w:numId w:val="2"/>
        </w:numPr>
        <w:spacing w:after="60" w:line="320"/>
      </w:pPr>
      <w:r>
        <w:rPr>
          <w:rFonts w:ascii="Helvetica" w:cs="Helvetica" w:eastAsia="Helvetica" w:hAnsi="Helvetica"/>
          <w:color w:val="1F2937"/>
          <w:sz w:val="22"/>
          <w:szCs w:val="22"/>
        </w:rPr>
        <w:t xml:space="preserve">Add do-not rules and a validation check list. These are cheap guards that close known traps, such as a within-species correlation, a row-level biomass mean, or a dropped seed.</w:t>
      </w:r>
    </w:p>
    <w:p>
      <w:pPr>
        <w:spacing w:after="120" w:line="336"/>
      </w:pPr>
      <w:r>
        <w:rPr>
          <w:rFonts w:ascii="Helvetica" w:cs="Helvetica" w:eastAsia="Helvetica" w:hAnsi="Helvetica"/>
          <w:color w:val="1F2937"/>
          <w:sz w:val="22"/>
          <w:szCs w:val="22"/>
        </w:rPr>
        <w:t xml:space="preserve">Parts that did not help on their own were length, generic step lists, and encouragement without fixed choices. As a rule, a skill improves reproducibility in proportion to the number of free choices it removes, not the number of words it adds. Write skills as contracts, with fixed parameters, exact calls, named unit definitions, and clear do-not rules, rather than as tutorials.</w:t>
      </w:r>
    </w:p>
    <w:p>
      <w:pPr>
        <w:pStyle w:val="Heading2"/>
      </w:pPr>
      <w:r>
        <w:rPr>
          <w:rFonts w:ascii="Helvetica" w:cs="Helvetica" w:eastAsia="Helvetica" w:hAnsi="Helvetica"/>
          <w:b/>
          <w:bCs/>
          <w:color w:val="111827"/>
          <w:sz w:val="26"/>
          <w:szCs w:val="26"/>
        </w:rPr>
        <w:t xml:space="preserve">6.3  Implications for practice</w:t>
      </w:r>
    </w:p>
    <w:p>
      <w:pPr>
        <w:spacing w:after="120" w:line="336"/>
      </w:pPr>
      <w:r>
        <w:rPr>
          <w:rFonts w:ascii="Helvetica" w:cs="Helvetica" w:eastAsia="Helvetica" w:hAnsi="Helvetica"/>
          <w:color w:val="1F2937"/>
          <w:sz w:val="22"/>
          <w:szCs w:val="22"/>
        </w:rPr>
        <w:t xml:space="preserve">For AI-assisted ecological analysis we suggest a few practices. State and report the output-equivalence tolerances up front. Version and archive the skill with the analysis, and record the decoding parameters and the seeds. Give agents structured tool contracts rather than open access. Use self-consistency, meaning several runs combined, as a default where a single fixed answer is not possible (Wang et al., 2023). Register skills and datasets with a record of their origin, so a reproducible result stays reproducible. These practices put the FAIR (Wilkinson et al., 2016) and FAIR4RS (Barker et al., 2022) principles to work for AI skills. Because reproducibility and validity are separate (Section 4.3), a skill and an analysis should be judged on both, not on run to run consistency alone.</w:t>
      </w:r>
    </w:p>
    <w:p>
      <w:pPr>
        <w:pStyle w:val="Heading2"/>
      </w:pPr>
      <w:r>
        <w:rPr>
          <w:rFonts w:ascii="Helvetica" w:cs="Helvetica" w:eastAsia="Helvetica" w:hAnsi="Helvetica"/>
          <w:b/>
          <w:bCs/>
          <w:color w:val="111827"/>
          <w:sz w:val="26"/>
          <w:szCs w:val="26"/>
        </w:rPr>
        <w:t xml:space="preserve">6.4  How this fits earlier work</w:t>
      </w:r>
    </w:p>
    <w:p>
      <w:pPr>
        <w:spacing w:after="120" w:line="336"/>
      </w:pPr>
      <w:r>
        <w:rPr>
          <w:rFonts w:ascii="Helvetica" w:cs="Helvetica" w:eastAsia="Helvetica" w:hAnsi="Helvetica"/>
          <w:color w:val="1F2937"/>
          <w:sz w:val="22"/>
          <w:szCs w:val="22"/>
        </w:rPr>
        <w:t xml:space="preserve">The experiment supports the points from the literature and fills the missing case. It shows the extra run to run variation that LLM help brings (T2). It supports the idea that structure helps, with a refinement, because only constraining structure helped. It supports measuring the output rather than the code (T4), where identical outputs were consistently wrong until a contract fixed the target quantity. No earlier study had tested AI skills against output reproducibility in ecology, and this experiment gives a first direct estimate.</w:t>
      </w:r>
    </w:p>
    <w:p>
      <w:pPr>
        <w:spacing w:after="120" w:line="336"/>
      </w:pPr>
      <w:r>
        <w:rPr>
          <w:rFonts w:ascii="Helvetica" w:cs="Helvetica" w:eastAsia="Helvetica" w:hAnsi="Helvetica"/>
          <w:color w:val="1F2937"/>
          <w:sz w:val="22"/>
          <w:szCs w:val="22"/>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Helvetica" w:cs="Helvetica" w:eastAsia="Helvetica" w:hAnsi="Helvetica"/>
          <w:b/>
          <w:bCs/>
          <w:color w:val="111827"/>
          <w:sz w:val="26"/>
          <w:szCs w:val="26"/>
        </w:rPr>
        <w:t xml:space="preserve">6.5  From single numbers to whole reports</w:t>
      </w:r>
    </w:p>
    <w:p>
      <w:pPr>
        <w:spacing w:after="120" w:line="336"/>
      </w:pPr>
      <w:r>
        <w:rPr>
          <w:rFonts w:ascii="Helvetica" w:cs="Helvetica" w:eastAsia="Helvetica" w:hAnsi="Helvetica"/>
          <w:color w:val="1F2937"/>
          <w:sz w:val="22"/>
          <w:szCs w:val="22"/>
        </w:rPr>
        <w:t xml:space="preserve">Study 2 extends the finding from a single number to a whole report, and shows the effect grows with difficulty. For a standard report the reports were already reproducible without a skill, so the skill mainly improved coherence and validity. For a report whose analyses each had a real method fork, independent reports no longer agreed, and only the full skill made the report reproducible, coherent, and valid at the same time. The same two failure modes appeared as in Study 1, where some analyses diverged from run to run and others were reproducible but wrong. A short judge rubric, run over the finished report, was enough to measure whether the report used the specified statistics. This gives authors, reviewers, and editors a simple check for whether an AI-assisted report is coherent with its stated methods.</w:t>
      </w:r>
    </w:p>
    <w:p>
      <w:pPr>
        <w:pStyle w:val="Heading2"/>
      </w:pPr>
      <w:r>
        <w:rPr>
          <w:rFonts w:ascii="Helvetica" w:cs="Helvetica" w:eastAsia="Helvetica" w:hAnsi="Helvetica"/>
          <w:b/>
          <w:bCs/>
          <w:color w:val="111827"/>
          <w:sz w:val="26"/>
          <w:szCs w:val="26"/>
        </w:rPr>
        <w:t xml:space="preserve">6.6  Limitations</w:t>
      </w:r>
    </w:p>
    <w:p>
      <w:pPr>
        <w:spacing w:after="120" w:line="336"/>
      </w:pPr>
      <w:r>
        <w:rPr>
          <w:rFonts w:ascii="Helvetica" w:cs="Helvetica" w:eastAsia="Helvetica" w:hAnsi="Helvetica"/>
          <w:color w:val="1F2937"/>
          <w:sz w:val="22"/>
          <w:szCs w:val="22"/>
        </w:rPr>
        <w:t xml:space="preserve">The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 Study 2 used one dataset, two report templates, one language, eight reports per condition, and a single judge to grade each report; a larger version should add more datasets and templates and a multi-judge grader.</w:t>
      </w:r>
    </w:p>
    <w:p>
      <w:pPr>
        <w:pStyle w:val="Heading2"/>
      </w:pPr>
      <w:r>
        <w:rPr>
          <w:rFonts w:ascii="Helvetica" w:cs="Helvetica" w:eastAsia="Helvetica" w:hAnsi="Helvetica"/>
          <w:b/>
          <w:bCs/>
          <w:color w:val="111827"/>
          <w:sz w:val="26"/>
          <w:szCs w:val="26"/>
        </w:rPr>
        <w:t xml:space="preserve">6.7  A larger study</w:t>
      </w:r>
    </w:p>
    <w:p>
      <w:pPr>
        <w:spacing w:after="120" w:line="336"/>
      </w:pPr>
      <w:r>
        <w:rPr>
          <w:rFonts w:ascii="Helvetica" w:cs="Helvetica" w:eastAsia="Helvetica" w:hAnsi="Helvetica"/>
          <w:color w:val="1F2937"/>
          <w:sz w:val="22"/>
          <w:szCs w:val="22"/>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All materials here can be reused for this.</w:t>
      </w:r>
    </w:p>
    <w:p>
      <w:pPr>
        <w:pStyle w:val="Heading1"/>
      </w:pPr>
      <w:r>
        <w:rPr>
          <w:rFonts w:ascii="Helvetica" w:cs="Helvetica" w:eastAsia="Helvetica" w:hAnsi="Helvetica"/>
          <w:b/>
          <w:bCs/>
          <w:color w:val="111827"/>
          <w:sz w:val="34"/>
          <w:szCs w:val="34"/>
        </w:rPr>
        <w:t xml:space="preserve">7  Conclusions</w:t>
      </w:r>
    </w:p>
    <w:p>
      <w:pPr>
        <w:spacing w:after="120" w:line="336"/>
      </w:pPr>
      <w:r>
        <w:rPr>
          <w:rFonts w:ascii="Helvetica" w:cs="Helvetica" w:eastAsia="Helvetica" w:hAnsi="Helvetica"/>
          <w:color w:val="1F2937"/>
          <w:sz w:val="22"/>
          <w:szCs w:val="22"/>
        </w:rPr>
        <w:t xml:space="preserve">Output reproducibility in ecological analysis is low and code-limited, AI help adds a new source of run to run variation, and structured guidance is the most likely way to counter it. Before this study, no work had directly measured whether AI skills give that benefit for ecological analyses. In a controlled experiment we show that they can, but by removing choices rather than by adding words, and that the deciding skill part depends on the task. Fix the random settings when a task involves randomness, and fix the input and method contract when a convention is unclear. Because reproducibility and validity are separate, a skill can make an analysis consistent without making it correct, so both should be measured. The same held when the output was a whole report rather than a single number, where a skill made the report use the specified statistics and, for a report full of open method choices, made independent reports agree with one another. The practical output is a short, ordered set of rules for writing reproducible AI skills for ecology, and an open experimental design for testing them at the level of both a single number and a full report.</w:t>
      </w:r>
    </w:p>
    <w:p>
      <w:pPr>
        <w:pBdr>
          <w:bottom w:val="single" w:color="E5E7EB" w:sz="4" w:space="1"/>
        </w:pBdr>
        <w:spacing w:after="160" w:before="160"/>
      </w:pPr>
    </w:p>
    <w:p>
      <w:pPr>
        <w:pStyle w:val="Heading2"/>
      </w:pPr>
      <w:r>
        <w:rPr>
          <w:rFonts w:ascii="Helvetica" w:cs="Helvetica" w:eastAsia="Helvetica" w:hAnsi="Helvetica"/>
          <w:b/>
          <w:bCs/>
          <w:color w:val="111827"/>
          <w:sz w:val="26"/>
          <w:szCs w:val="26"/>
        </w:rPr>
        <w:t xml:space="preserve">Author contributions</w:t>
      </w:r>
    </w:p>
    <w:p>
      <w:pPr>
        <w:spacing w:after="120" w:line="336"/>
      </w:pPr>
      <w:r>
        <w:rPr>
          <w:rFonts w:ascii="Helvetica" w:cs="Helvetica" w:eastAsia="Helvetica" w:hAnsi="Helvetica"/>
          <w:color w:val="1F2937"/>
          <w:sz w:val="20"/>
          <w:szCs w:val="20"/>
        </w:rPr>
        <w:t xml:space="preserve">[To be completed.]</w:t>
      </w:r>
    </w:p>
    <w:p>
      <w:pPr>
        <w:pStyle w:val="Heading2"/>
      </w:pPr>
      <w:r>
        <w:rPr>
          <w:rFonts w:ascii="Helvetica" w:cs="Helvetica" w:eastAsia="Helvetica" w:hAnsi="Helvetica"/>
          <w:b/>
          <w:bCs/>
          <w:color w:val="111827"/>
          <w:sz w:val="26"/>
          <w:szCs w:val="26"/>
        </w:rPr>
        <w:t xml:space="preserve">Data availability and reproducibility</w:t>
      </w:r>
    </w:p>
    <w:p>
      <w:pPr>
        <w:spacing w:after="120" w:line="336"/>
      </w:pPr>
      <w:r>
        <w:rPr>
          <w:rFonts w:ascii="Helvetica" w:cs="Helvetica" w:eastAsia="Helvetica" w:hAnsi="Helvetica"/>
          <w:color w:val="1F2937"/>
          <w:sz w:val="21"/>
          <w:szCs w:val="21"/>
        </w:rPr>
        <w:t xml:space="preserve">All code and materials are publicly available in a Git repository at https://github.com/Fabbiologia/ai-skills-reproducibility-ecology, and will be archived on Zenodo with a DOI on acceptance. This includes the two open data files (iris and Palmer Penguins), the 40 prompts (Python and R), the two orchestration scripts that launched the 400 runs, every run's structured output for both languages, and the analysis scripts that regenerate all tables and figures. The LTEM Cabo Pulmo 2023 reef fish data used for Task T4 is restricted and is available on request from the Aburto Lab; Tasks T1 to T3 are fully reproducible from the repository as it stands. The report-level study (Study 2) adds its own prompts, the generation and judge workflows, the report outputs with judge grades, and its analysis scripts, in the report_reproducibility folder of the repository. The list of studies read for the background, and the search terms, are given in S1 to S4.</w:t>
      </w:r>
    </w:p>
    <w:p>
      <w:pPr>
        <w:pStyle w:val="Heading2"/>
      </w:pPr>
      <w:r>
        <w:rPr>
          <w:rFonts w:ascii="Helvetica" w:cs="Helvetica" w:eastAsia="Helvetica" w:hAnsi="Helvetica"/>
          <w:b/>
          <w:bCs/>
          <w:color w:val="111827"/>
          <w:sz w:val="26"/>
          <w:szCs w:val="26"/>
        </w:rPr>
        <w:t xml:space="preserve">Conflicts of interest</w:t>
      </w:r>
    </w:p>
    <w:p>
      <w:pPr>
        <w:spacing w:after="120" w:line="336"/>
      </w:pPr>
      <w:r>
        <w:rPr>
          <w:rFonts w:ascii="Helvetica" w:cs="Helvetica" w:eastAsia="Helvetica" w:hAnsi="Helvetica"/>
          <w:color w:val="1F2937"/>
          <w:sz w:val="20"/>
          <w:szCs w:val="20"/>
        </w:rPr>
        <w:t xml:space="preserve">None declared.</w:t>
      </w:r>
    </w:p>
    <w:p>
      <w:pPr>
        <w:pStyle w:val="Heading2"/>
      </w:pPr>
      <w:r>
        <w:rPr>
          <w:rFonts w:ascii="Helvetica" w:cs="Helvetica" w:eastAsia="Helvetica" w:hAnsi="Helvetica"/>
          <w:b/>
          <w:bCs/>
          <w:color w:val="111827"/>
          <w:sz w:val="26"/>
          <w:szCs w:val="26"/>
        </w:rPr>
        <w:t xml:space="preserve">Funding</w:t>
      </w:r>
    </w:p>
    <w:p>
      <w:pPr>
        <w:spacing w:after="120" w:line="336"/>
      </w:pPr>
      <w:r>
        <w:rPr>
          <w:rFonts w:ascii="Helvetica" w:cs="Helvetica" w:eastAsia="Helvetica" w:hAnsi="Helvetica"/>
          <w:color w:val="1F2937"/>
          <w:sz w:val="20"/>
          <w:szCs w:val="20"/>
        </w:rPr>
        <w:t xml:space="preserve">[To be completed.]</w:t>
      </w:r>
    </w:p>
    <w:p>
      <w:pPr>
        <w:pStyle w:val="Heading1"/>
      </w:pPr>
      <w:r>
        <w:rPr>
          <w:rFonts w:ascii="Helvetica" w:cs="Helvetica" w:eastAsia="Helvetica" w:hAnsi="Helvetica"/>
          <w:b/>
          <w:bCs/>
          <w:color w:val="111827"/>
          <w:sz w:val="34"/>
          <w:szCs w:val="34"/>
        </w:rPr>
        <w:t xml:space="preserve">References</w:t>
      </w:r>
    </w:p>
    <w:p>
      <w:pPr>
        <w:spacing w:after="100" w:line="300"/>
        <w:ind w:left="360" w:hanging="360"/>
      </w:pPr>
      <w:r>
        <w:rPr>
          <w:rFonts w:ascii="Helvetica" w:cs="Helvetica" w:eastAsia="Helvetica" w:hAnsi="Helvetica"/>
          <w:color w:val="1F2937"/>
          <w:sz w:val="20"/>
          <w:szCs w:val="20"/>
        </w:rPr>
        <w:t xml:space="preserve">Baker, M. (2016). 1,500 scientists lift the lid on reproducibility. Nature, 533, 452–454.</w:t>
      </w:r>
    </w:p>
    <w:p>
      <w:pPr>
        <w:spacing w:after="100" w:line="300"/>
        <w:ind w:left="360" w:hanging="360"/>
      </w:pPr>
      <w:r>
        <w:rPr>
          <w:rFonts w:ascii="Helvetica" w:cs="Helvetica" w:eastAsia="Helvetica" w:hAnsi="Helvetica"/>
          <w:color w:val="1F2937"/>
          <w:sz w:val="20"/>
          <w:szCs w:val="20"/>
        </w:rPr>
        <w:t xml:space="preserve">Barker, M., Chue Hong, N. P., Katz, D. S., et al. (2022). Introducing the FAIR Principles for research software. Scientific Data, 9, 622.</w:t>
      </w:r>
    </w:p>
    <w:p>
      <w:pPr>
        <w:spacing w:after="100" w:line="300"/>
        <w:ind w:left="360" w:hanging="360"/>
      </w:pPr>
      <w:r>
        <w:rPr>
          <w:rFonts w:ascii="Helvetica" w:cs="Helvetica" w:eastAsia="Helvetica" w:hAnsi="Helvetica"/>
          <w:color w:val="1F2937"/>
          <w:sz w:val="20"/>
          <w:szCs w:val="20"/>
        </w:rPr>
        <w:t xml:space="preserve">Culina, A., van den Berg, I., Evans, S., &amp; Sánchez-Tójar, A. (2020). Low availability of code in ecology: a call for urgent action. PLOS Biology, 18(7), e3000763.</w:t>
      </w:r>
    </w:p>
    <w:p>
      <w:pPr>
        <w:spacing w:after="100" w:line="300"/>
        <w:ind w:left="360" w:hanging="360"/>
      </w:pPr>
      <w:r>
        <w:rPr>
          <w:rFonts w:ascii="Helvetica" w:cs="Helvetica" w:eastAsia="Helvetica" w:hAnsi="Helvetica"/>
          <w:color w:val="1F2937"/>
          <w:sz w:val="20"/>
          <w:szCs w:val="20"/>
        </w:rPr>
        <w:t xml:space="preserve">Gallois, E. C., Salili-James, A., Poon, S. T. S., Trebski, A., &amp; Redding, D. W. (2025). Fast-tracking ecological interpretation using bespoke quantitative large language models. Methods in Ecology and Evolution, 16(12), 2730–2740.</w:t>
      </w:r>
    </w:p>
    <w:p>
      <w:pPr>
        <w:spacing w:after="100" w:line="300"/>
        <w:ind w:left="360" w:hanging="360"/>
      </w:pPr>
      <w:r>
        <w:rPr>
          <w:rFonts w:ascii="Helvetica" w:cs="Helvetica" w:eastAsia="Helvetica" w:hAnsi="Helvetica"/>
          <w:color w:val="1F2937"/>
          <w:sz w:val="20"/>
          <w:szCs w:val="20"/>
        </w:rPr>
        <w:t xml:space="preserve">Goodman, S. N., Fanelli, D., &amp; Ioannidis, J. P. A. (2016). What does research reproducibility mean? Science Translational Medicine, 8(341), 341ps12.</w:t>
      </w:r>
    </w:p>
    <w:p>
      <w:pPr>
        <w:spacing w:after="100" w:line="300"/>
        <w:ind w:left="360" w:hanging="360"/>
      </w:pPr>
      <w:r>
        <w:rPr>
          <w:rFonts w:ascii="Helvetica" w:cs="Helvetica" w:eastAsia="Helvetica" w:hAnsi="Helvetica"/>
          <w:color w:val="1F2937"/>
          <w:sz w:val="20"/>
          <w:szCs w:val="20"/>
        </w:rPr>
        <w:t xml:space="preserve">Gundersen, O. E. (2021). The fundamental principles of reproducibility. Philosophical Transactions of the Royal Society A, 379, 20200210.</w:t>
      </w:r>
    </w:p>
    <w:p>
      <w:pPr>
        <w:spacing w:after="100" w:line="300"/>
        <w:ind w:left="360" w:hanging="360"/>
      </w:pPr>
      <w:r>
        <w:rPr>
          <w:rFonts w:ascii="Helvetica" w:cs="Helvetica" w:eastAsia="Helvetica" w:hAnsi="Helvetica"/>
          <w:color w:val="1F2937"/>
          <w:sz w:val="20"/>
          <w:szCs w:val="20"/>
        </w:rPr>
        <w:t xml:space="preserve">Harris, C. R., Millman, K. J., van der Walt, S. J., et al. (2020). Array programming with NumPy. Nature, 585, 357–362.</w:t>
      </w:r>
    </w:p>
    <w:p>
      <w:pPr>
        <w:spacing w:after="100" w:line="300"/>
        <w:ind w:left="360" w:hanging="360"/>
      </w:pPr>
      <w:r>
        <w:rPr>
          <w:rFonts w:ascii="Helvetica" w:cs="Helvetica" w:eastAsia="Helvetica" w:hAnsi="Helvetica"/>
          <w:color w:val="1F2937"/>
          <w:sz w:val="20"/>
          <w:szCs w:val="20"/>
        </w:rPr>
        <w:t xml:space="preserve">He, J., Rungta, M., Koleczek, D., Sekhon, A., Wang, F. X., &amp; Hasan, S. (2024). Does prompt formatting have any impact on LLM performance? arXiv:2411.10541.</w:t>
      </w:r>
    </w:p>
    <w:p>
      <w:pPr>
        <w:spacing w:after="100" w:line="300"/>
        <w:ind w:left="360" w:hanging="360"/>
      </w:pPr>
      <w:r>
        <w:rPr>
          <w:rFonts w:ascii="Helvetica" w:cs="Helvetica" w:eastAsia="Helvetica" w:hAnsi="Helvetica"/>
          <w:color w:val="1F2937"/>
          <w:sz w:val="20"/>
          <w:szCs w:val="20"/>
        </w:rPr>
        <w:t xml:space="preserve">Horst, A. M., Hill, A. P., &amp; Gorman, K. B. (2020). palmerpenguins: Palmer Archipelago (Antarctica) penguin data. R package; data from Gorman, Williams &amp; Fraser (2014), PLOS ONE 9(3), e90081.</w:t>
      </w:r>
    </w:p>
    <w:p>
      <w:pPr>
        <w:spacing w:after="100" w:line="300"/>
        <w:ind w:left="360" w:hanging="360"/>
      </w:pPr>
      <w:r>
        <w:rPr>
          <w:rFonts w:ascii="Helvetica" w:cs="Helvetica" w:eastAsia="Helvetica" w:hAnsi="Helvetica"/>
          <w:color w:val="1F2937"/>
          <w:sz w:val="20"/>
          <w:szCs w:val="20"/>
        </w:rPr>
        <w:t xml:space="preserve">Kambouris, S., Wilkinson, D. P., Smith, E. T., &amp; Fidler, F. (2024). Computationally reproducing results from meta-analyses in ecology and evolutionary biology using shared code and data. PLOS ONE, 19(3), e0300333.</w:t>
      </w:r>
    </w:p>
    <w:p>
      <w:pPr>
        <w:spacing w:after="100" w:line="300"/>
        <w:ind w:left="360" w:hanging="360"/>
      </w:pPr>
      <w:r>
        <w:rPr>
          <w:rFonts w:ascii="Helvetica" w:cs="Helvetica" w:eastAsia="Helvetica" w:hAnsi="Helvetica"/>
          <w:color w:val="1F2937"/>
          <w:sz w:val="20"/>
          <w:szCs w:val="20"/>
        </w:rPr>
        <w:t xml:space="preserve">Kellner, K. F., et al. (2025). Functional R code is rare in species distribution and abundance papers. Ecology, e4475.</w:t>
      </w:r>
    </w:p>
    <w:p>
      <w:pPr>
        <w:spacing w:after="100" w:line="300"/>
        <w:ind w:left="360" w:hanging="360"/>
      </w:pPr>
      <w:r>
        <w:rPr>
          <w:rFonts w:ascii="Helvetica" w:cs="Helvetica" w:eastAsia="Helvetica" w:hAnsi="Helvetica"/>
          <w:color w:val="1F2937"/>
          <w:sz w:val="20"/>
          <w:szCs w:val="20"/>
        </w:rPr>
        <w:t xml:space="preserve">O'Dea, R. E., Lagisz, M., Jennions, M. D., et al. (2021). Preferred reporting items for systematic reviews and meta-analyses in ecology and evolutionary biology: a PRISMA extension (PRISMA-EcoEvo). Biological Reviews, 96, 1695–1722.</w:t>
      </w:r>
    </w:p>
    <w:p>
      <w:pPr>
        <w:spacing w:after="100" w:line="300"/>
        <w:ind w:left="360" w:hanging="360"/>
      </w:pPr>
      <w:r>
        <w:rPr>
          <w:rFonts w:ascii="Helvetica" w:cs="Helvetica" w:eastAsia="Helvetica" w:hAnsi="Helvetica"/>
          <w:color w:val="1F2937"/>
          <w:sz w:val="20"/>
          <w:szCs w:val="20"/>
        </w:rPr>
        <w:t xml:space="preserve">Pedregosa, F., Varoquaux, G., Gramfort, A., et al. (2011). Scikit-learn: Machine learning in Python. Journal of Machine Learning Research, 12, 2825–2830.</w:t>
      </w:r>
    </w:p>
    <w:p>
      <w:pPr>
        <w:spacing w:after="100" w:line="300"/>
        <w:ind w:left="360" w:hanging="360"/>
      </w:pPr>
      <w:r>
        <w:rPr>
          <w:rFonts w:ascii="Helvetica" w:cs="Helvetica" w:eastAsia="Helvetica" w:hAnsi="Helvetica"/>
          <w:color w:val="1F2937"/>
          <w:sz w:val="20"/>
          <w:szCs w:val="20"/>
        </w:rPr>
        <w:t xml:space="preserve">Pimentel, J. F., Murta, L., Braganholo, V., &amp; Freire, J. (2019). A large-scale study about quality and reproducibility of Jupyter notebooks. MSR 2019.</w:t>
      </w:r>
    </w:p>
    <w:p>
      <w:pPr>
        <w:spacing w:after="100" w:line="300"/>
        <w:ind w:left="360" w:hanging="360"/>
      </w:pPr>
      <w:r>
        <w:rPr>
          <w:rFonts w:ascii="Helvetica" w:cs="Helvetica" w:eastAsia="Helvetica" w:hAnsi="Helvetica"/>
          <w:color w:val="1F2937"/>
          <w:sz w:val="20"/>
          <w:szCs w:val="20"/>
        </w:rPr>
        <w:t xml:space="preserve">R Core Team (2026). R: A language and environment for statistical computing. R Foundation for Statistical Computing, Vienna, Austria. Version 4.6.0.</w:t>
      </w:r>
    </w:p>
    <w:p>
      <w:pPr>
        <w:spacing w:after="100" w:line="300"/>
        <w:ind w:left="360" w:hanging="360"/>
      </w:pPr>
      <w:r>
        <w:rPr>
          <w:rFonts w:ascii="Helvetica" w:cs="Helvetica" w:eastAsia="Helvetica" w:hAnsi="Helvetica"/>
          <w:color w:val="1F2937"/>
          <w:sz w:val="20"/>
          <w:szCs w:val="20"/>
        </w:rPr>
        <w:t xml:space="preserve">Trisovic, A., Lau, M. K., Pasquier, T., &amp; Crosas, M. (2022). A large-scale study on research code quality and execution. Scientific Data, 9, 60.</w:t>
      </w:r>
    </w:p>
    <w:p>
      <w:pPr>
        <w:spacing w:after="100" w:line="300"/>
        <w:ind w:left="360" w:hanging="360"/>
      </w:pPr>
      <w:r>
        <w:rPr>
          <w:rFonts w:ascii="Helvetica" w:cs="Helvetica" w:eastAsia="Helvetica" w:hAnsi="Helvetica"/>
          <w:color w:val="1F2937"/>
          <w:sz w:val="20"/>
          <w:szCs w:val="20"/>
        </w:rPr>
        <w:t xml:space="preserve">Virtanen, P., Gommers, R., Oliphant, T. E., et al. (2020). SciPy 1.0: fundamental algorithms for scientific computing in Python. Nature Methods, 17, 261–272.</w:t>
      </w:r>
    </w:p>
    <w:p>
      <w:pPr>
        <w:spacing w:after="100" w:line="300"/>
        <w:ind w:left="360" w:hanging="360"/>
      </w:pPr>
      <w:r>
        <w:rPr>
          <w:rFonts w:ascii="Helvetica" w:cs="Helvetica" w:eastAsia="Helvetica" w:hAnsi="Helvetica"/>
          <w:color w:val="1F2937"/>
          <w:sz w:val="20"/>
          <w:szCs w:val="20"/>
        </w:rPr>
        <w:t xml:space="preserve">Wang, X., Wei, J., Schuurmans, D., et al. (2023). Self-consistency improves chain-of-thought reasoning in language models. ICLR 2023. arXiv:2203.11171.</w:t>
      </w:r>
    </w:p>
    <w:p>
      <w:pPr>
        <w:spacing w:after="100" w:line="300"/>
        <w:ind w:left="360" w:hanging="360"/>
      </w:pPr>
      <w:r>
        <w:rPr>
          <w:rFonts w:ascii="Helvetica" w:cs="Helvetica" w:eastAsia="Helvetica" w:hAnsi="Helvetica"/>
          <w:color w:val="1F2937"/>
          <w:sz w:val="20"/>
          <w:szCs w:val="20"/>
        </w:rPr>
        <w:t xml:space="preserve">Wilkinson, M. D., Dumontier, M., Aalbersberg, Ij. J., et al. (2016). The FAIR Guiding Principles for scientific data management and stewardship. Scientific Data, 3, 160018.</w:t>
      </w:r>
    </w:p>
    <w:p>
      <w:pPr>
        <w:spacing w:after="100" w:line="300"/>
        <w:ind w:left="360" w:hanging="360"/>
      </w:pPr>
      <w:r>
        <w:rPr>
          <w:rFonts w:ascii="Helvetica" w:cs="Helvetica" w:eastAsia="Helvetica" w:hAnsi="Helvetica"/>
          <w:color w:val="1F2937"/>
          <w:sz w:val="20"/>
          <w:szCs w:val="20"/>
        </w:rPr>
        <w:t xml:space="preserve">Zurell, D., Franklin, J., König, C., et al. (2020). A standard protocol for reporting species distribution models (ODMAP). Ecography, 43(9), 1261–1277.</w:t>
      </w:r>
    </w:p>
    <w:p>
      <w:pPr>
        <w:spacing w:after="100" w:line="300"/>
        <w:ind w:left="360" w:hanging="360"/>
      </w:pPr>
      <w:r>
        <w:rPr>
          <w:rFonts w:ascii="Helvetica" w:cs="Helvetica" w:eastAsia="Helvetica" w:hAnsi="Helvetica"/>
          <w:color w:val="1F2937"/>
          <w:sz w:val="20"/>
          <w:szCs w:val="20"/>
        </w:rPr>
        <w:t xml:space="preserve">How consistent are LLM agents? Measuring behavioral reproducibility in multi-step tool-calling pipelines (2026, preprint). arXiv:2605.28840.</w:t>
      </w:r>
    </w:p>
    <w:p>
      <w:pPr>
        <w:spacing w:after="100" w:line="300"/>
        <w:ind w:left="360" w:hanging="360"/>
      </w:pPr>
      <w:r>
        <w:rPr>
          <w:rFonts w:ascii="Helvetica" w:cs="Helvetica" w:eastAsia="Helvetica" w:hAnsi="Helvetica"/>
          <w:color w:val="1F2937"/>
          <w:sz w:val="20"/>
          <w:szCs w:val="20"/>
        </w:rPr>
        <w:t xml:space="preserve">Large language models possess some ecological knowledge, but how much? (2026). Journal for Nature Conservation.</w:t>
      </w:r>
    </w:p>
    <w:p>
      <w:pPr>
        <w:spacing w:after="100" w:line="300"/>
        <w:ind w:left="360" w:hanging="360"/>
      </w:pPr>
      <w:r>
        <w:rPr>
          <w:rFonts w:ascii="Helvetica" w:cs="Helvetica" w:eastAsia="Helvetica" w:hAnsi="Helvetica"/>
          <w:color w:val="1F2937"/>
          <w:sz w:val="20"/>
          <w:szCs w:val="20"/>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AI skills and output reproducibility of ecological analyses</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28920d049532a6b54b13bd2200a99fa56a457c02.png"/><Relationship Id="rId10" Type="http://schemas.openxmlformats.org/officeDocument/2006/relationships/image" Target="media/81481fa3cb77c91191775d7bc8896e15cbf1c4bf.png"/><Relationship Id="rId11" Type="http://schemas.openxmlformats.org/officeDocument/2006/relationships/image" Target="media/d9648fda80c6d9a3a3b72cbcc877b3be87deedc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2026-07-07T06:20:28.348Z</dcterms:created>
  <dcterms:modified xsi:type="dcterms:W3CDTF">2026-07-07T06:20:28.348Z</dcterms:modified>
</cp:coreProperties>
</file>

<file path=docProps/custom.xml><?xml version="1.0" encoding="utf-8"?>
<Properties xmlns="http://schemas.openxmlformats.org/officeDocument/2006/custom-properties" xmlns:vt="http://schemas.openxmlformats.org/officeDocument/2006/docPropsVTypes"/>
</file>