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Skills as the new packages: an evidence-based standard for good AI analysis skills and a curated repository for ecology</w:t>
      </w:r>
    </w:p>
    <w:p>
      <w:pPr>
        <w:spacing w:after="40" w:line="336"/>
      </w:pPr>
      <w:r>
        <w:rPr>
          <w:rFonts w:ascii="Helvetica" w:cs="Helvetica" w:eastAsia="Helvetica" w:hAnsi="Helvetica"/>
          <w:color w:val="1F2937"/>
          <w:sz w:val="22"/>
          <w:szCs w:val="22"/>
        </w:rPr>
        <w:t xml:space="preserve">Fabio Favoretto¹*, Alberto Rivera², Eduardo León Solorzano³</w:t>
      </w:r>
    </w:p>
    <w:p>
      <w:pPr>
        <w:spacing w:after="20" w:line="336"/>
      </w:pPr>
      <w:r>
        <w:rPr>
          <w:rFonts w:ascii="Helvetica" w:cs="Helvetica" w:eastAsia="Helvetica" w:hAnsi="Helvetica"/>
          <w:color w:val="1F2937"/>
          <w:sz w:val="20"/>
          <w:szCs w:val="20"/>
        </w:rPr>
        <w:t xml:space="preserve">¹ School of Biological and Marine Science, University of Plymouth, Plymouth, UK</w:t>
      </w:r>
    </w:p>
    <w:p>
      <w:pPr>
        <w:spacing w:after="20" w:line="336"/>
      </w:pPr>
      <w:r>
        <w:rPr>
          <w:rFonts w:ascii="Helvetica" w:cs="Helvetica" w:eastAsia="Helvetica" w:hAnsi="Helvetica"/>
          <w:color w:val="1F2937"/>
          <w:sz w:val="20"/>
          <w:szCs w:val="20"/>
        </w:rPr>
        <w:t xml:space="preserve">² Scripps Institution of Oceanography, University of California San Diego, La Jolla, CA, USA</w:t>
      </w:r>
    </w:p>
    <w:p>
      <w:pPr>
        <w:spacing w:after="20" w:line="336"/>
      </w:pPr>
      <w:r>
        <w:rPr>
          <w:rFonts w:ascii="Helvetica" w:cs="Helvetica" w:eastAsia="Helvetica" w:hAnsi="Helvetica"/>
          <w:color w:val="1F2937"/>
          <w:sz w:val="20"/>
          <w:szCs w:val="20"/>
        </w:rPr>
        <w:t xml:space="preserve">³ Centro para la Biodiversidad Marina y la Conservación, A.C., La Paz, BCS, Mexico</w:t>
      </w:r>
    </w:p>
    <w:p>
      <w:pPr>
        <w:spacing w:after="40" w:line="336"/>
      </w:pPr>
      <w:r>
        <w:rPr>
          <w:rFonts w:ascii="Helvetica" w:cs="Helvetica" w:eastAsia="Helvetica" w:hAnsi="Helvetica"/>
          <w:color w:val="1F2937"/>
          <w:sz w:val="20"/>
          <w:szCs w:val="20"/>
        </w:rPr>
        <w:t xml:space="preserve">* Corresponding author: fabio.favoretto@plymouth.ac.uk</w:t>
      </w:r>
    </w:p>
    <w:p>
      <w:pPr>
        <w:spacing w:after="120" w:line="336"/>
      </w:pPr>
      <w:r>
        <w:rPr>
          <w:rFonts w:ascii="Helvetica" w:cs="Helvetica" w:eastAsia="Helvetica" w:hAnsi="Helvetica"/>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Abstract</w:t>
      </w:r>
    </w:p>
    <w:p>
      <w:pPr>
        <w:spacing w:after="120" w:line="336"/>
      </w:pPr>
      <w:r>
        <w:rPr>
          <w:rFonts w:ascii="Helvetica" w:cs="Helvetica" w:eastAsia="Helvetica" w:hAnsi="Helvetica"/>
          <w:color w:val="1F2937"/>
          <w:sz w:val="22"/>
          <w:szCs w:val="22"/>
        </w:rPr>
        <w:t xml:space="preserve">1. Software packages, shared through curated repositories such as CRAN for R, made data analysis reusable and easier to reproduce. Large language models (LLMs) and agent tools are now used for ecological analysis, and the structured instructions that drive them, which we call skills, are becoming a reusable unit of the same kind. Today skills are shared informally, without versions, tests, or review. We argue that skills should be treated like packages and distributed through a curated repository, and we use controlled experiments to work out what such a repository should require of a skill.</w:t>
      </w:r>
    </w:p>
    <w:p>
      <w:pPr>
        <w:spacing w:after="120" w:line="336"/>
      </w:pPr>
      <w:r>
        <w:rPr>
          <w:rFonts w:ascii="Helvetica" w:cs="Helvetica" w:eastAsia="Helvetica" w:hAnsi="Helvetica"/>
          <w:color w:val="1F2937"/>
          <w:sz w:val="22"/>
          <w:szCs w:val="22"/>
        </w:rPr>
        <w:t xml:space="preserve">2. We ran two controlled experiments, and we summarised the current literature to set the context. The first crossed four analysis tasks with five levels of skill detail, in two languages (Python and R), and repeated each combination ten times, for 400 runs in total. Each level adds one kind of instruction to the one before it, so we can see which part of a skill does the work, and the two languages let us check whether different code reaches the same answer. The second experiment raised the output from a single number to a whole data report and used an independent judge to check whether each report used the statistics the skill specifies.</w:t>
      </w:r>
    </w:p>
    <w:p>
      <w:pPr>
        <w:spacing w:after="120" w:line="336"/>
      </w:pPr>
      <w:r>
        <w:rPr>
          <w:rFonts w:ascii="Helvetica" w:cs="Helvetica" w:eastAsia="Helvetica" w:hAnsi="Helvetica"/>
          <w:color w:val="1F2937"/>
          <w:sz w:val="22"/>
          <w:szCs w:val="22"/>
        </w:rPr>
        <w:t xml:space="preserve">3. Reproducibility was already high when a task had one obvious way to do it. Where a task involved randomness, run to run variation disappeared only when the skill fixed the random seed and the data handling (agreement rose from 16 of 30 runs to 20 of 20; Fisher P = 2×10⁻⁴). On real reef fish data, plain runs were perfectly consistent but gave the wrong value, and the answer became correct only when the skill fixed how the survey unit was defined (from 0 of 20 correct to 30 of 30; P = 2×10⁻¹⁴). A long but vague skill did not help, and sometimes made things worse. In the report experiment, a full methods skill made reports use the specified statistics (coherence rose to 100%), and for a report whose analyses each had a real method fork it also restored agreement between independent reports from half to all.</w:t>
      </w:r>
    </w:p>
    <w:p>
      <w:pPr>
        <w:spacing w:after="120" w:line="336"/>
      </w:pPr>
      <w:r>
        <w:rPr>
          <w:rFonts w:ascii="Helvetica" w:cs="Helvetica" w:eastAsia="Helvetica" w:hAnsi="Helvetica"/>
          <w:color w:val="1F2937"/>
          <w:sz w:val="22"/>
          <w:szCs w:val="22"/>
        </w:rPr>
        <w:t xml:space="preserve">4. Skills improve reproducibility by removing choices, not by adding words, and the part that matters depends on the task. From the results we set out a short standard for a good skill (fix the random settings, fix the input and method contract, declare a reference value and a tolerance, and add do-not rules and a check list), three automated checks a skill should pass before it is published (self-consistency, reference, and coherence), and the design of a curated repository for Model Context Protocol servers and skills. Treating skills as versioned, tested, reviewed packages would give ecology a dependable and citable body of analysis skills, and we provide an open experimental design for testing them.</w:t>
      </w:r>
    </w:p>
    <w:p>
      <w:pPr>
        <w:spacing w:after="120" w:before="120" w:line="336"/>
      </w:pPr>
      <w:r>
        <w:rPr>
          <w:rFonts w:ascii="Helvetica" w:cs="Helvetica" w:eastAsia="Helvetica" w:hAnsi="Helvetica"/>
          <w:color w:val="1F2937"/>
          <w:sz w:val="22"/>
          <w:szCs w:val="22"/>
        </w:rPr>
        <w:t xml:space="preserve">Keywords: reproducibility; large language models; agent skills; Model Context Protocol; research software; package repository; open science; FAIR; conservation; marine ecology.</w:t>
      </w:r>
    </w:p>
    <w:p>
      <w:r>
        <w:br w:type="page"/>
      </w:r>
    </w:p>
    <w:p>
      <w:pPr>
        <w:pStyle w:val="Heading1"/>
      </w:pPr>
      <w:r>
        <w:rPr>
          <w:rFonts w:ascii="Helvetica" w:cs="Helvetica" w:eastAsia="Helvetica" w:hAnsi="Helvetica"/>
          <w:b/>
          <w:bCs/>
          <w:color w:val="111827"/>
          <w:sz w:val="34"/>
          <w:szCs w:val="34"/>
        </w:rPr>
        <w:t xml:space="preserve">1  Introduction</w:t>
      </w:r>
    </w:p>
    <w:p>
      <w:pPr>
        <w:spacing w:after="120" w:line="336"/>
      </w:pPr>
      <w:r>
        <w:rPr>
          <w:rFonts w:ascii="Helvetica" w:cs="Helvetica" w:eastAsia="Helvetica" w:hAnsi="Helvetica"/>
          <w:color w:val="1F2937"/>
          <w:sz w:val="22"/>
          <w:szCs w:val="22"/>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Helvetica" w:cs="Helvetica" w:eastAsia="Helvetica" w:hAnsi="Helvetica"/>
          <w:color w:val="1F2937"/>
          <w:sz w:val="22"/>
          <w:szCs w:val="22"/>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Helvetica" w:cs="Helvetica" w:eastAsia="Helvetica" w:hAnsi="Helvetica"/>
          <w:color w:val="1F2937"/>
          <w:sz w:val="22"/>
          <w:szCs w:val="22"/>
        </w:rPr>
        <w:t xml:space="preserve">There is a precedent for making a new kind of analysis dependable. Software packages, distributed through curated repositories such as CRAN for R and Bioconductor for bioinformatics, turned analysis code into versioned, documented, tested, and reviewed units, and the analyses built on them became easier to reproduce. Skills play the same role for LLMs and their tools, especially now that tools are reached through a shared interface such as the Model Context Protocol (MCP), so a skill can package an expert procedure together with the tools and data it calls. Yet skills today are shared informally, without versions, tests, or review, much as analysis code was before package repositories existed. We argue that skills should be treated like packages and distributed through a curated repository, and that the repository should admit a skill only when the skill is shown to produce reproducible and correct results. This raises a concrete question. What must a skill contain, and what must it be tested for, to deserve a place in such a repository? We answer both with controlled experiments and turn the answer into a standard and a repository design.</w:t>
      </w:r>
    </w:p>
    <w:p>
      <w:pPr>
        <w:spacing w:after="120" w:line="336"/>
      </w:pPr>
      <w:r>
        <w:rPr>
          <w:rFonts w:ascii="Helvetica" w:cs="Helvetica" w:eastAsia="Helvetica" w:hAnsi="Helvetica"/>
          <w:color w:val="1F2937"/>
          <w:sz w:val="22"/>
          <w:szCs w:val="22"/>
        </w:rPr>
        <w:t xml:space="preserve">One distinction frames this study.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Helvetica" w:cs="Helvetica" w:eastAsia="Helvetica" w:hAnsi="Helvetica"/>
          <w:color w:val="1F2937"/>
          <w:sz w:val="22"/>
          <w:szCs w:val="22"/>
        </w:rPr>
        <w:t xml:space="preserve">We first summarise what earlier work shows (Section 2). We then report two experiments, one on a single analytical output (Sections 3 and 4) and one on a whole report (Section 5). From their results we set out a standard for a good skill, the checks it should pass, and the design of a curated repository for MCP and skills (Section 6), and we discuss the implications (Section 7). The experiments are the evidence, and the standard and the repository are the contribution. The literature review sets the context and is not a formal systematic review.</w:t>
      </w:r>
    </w:p>
    <w:p>
      <w:pPr>
        <w:pStyle w:val="Heading1"/>
      </w:pPr>
      <w:r>
        <w:rPr>
          <w:rFonts w:ascii="Helvetica" w:cs="Helvetica" w:eastAsia="Helvetica" w:hAnsi="Helvetica"/>
          <w:b/>
          <w:bCs/>
          <w:color w:val="111827"/>
          <w:sz w:val="34"/>
          <w:szCs w:val="34"/>
        </w:rPr>
        <w:t xml:space="preserve">2  Background from earlier work</w:t>
      </w:r>
    </w:p>
    <w:p>
      <w:pPr>
        <w:spacing w:after="120" w:line="336"/>
      </w:pPr>
      <w:r>
        <w:rPr>
          <w:rFonts w:ascii="Helvetica" w:cs="Helvetica" w:eastAsia="Helvetica" w:hAnsi="Helvetica"/>
          <w:color w:val="1F2937"/>
          <w:sz w:val="22"/>
          <w:szCs w:val="22"/>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Helvetica" w:cs="Helvetica" w:eastAsia="Helvetica" w:hAnsi="Helvetica"/>
          <w:color w:val="1F2937"/>
          <w:sz w:val="22"/>
          <w:szCs w:val="22"/>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Helvetica" w:cs="Helvetica" w:eastAsia="Helvetica" w:hAnsi="Helvetica"/>
          <w:color w:val="1F2937"/>
          <w:sz w:val="22"/>
          <w:szCs w:val="22"/>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Helvetica" w:cs="Helvetica" w:eastAsia="Helvetica" w:hAnsi="Helvetica"/>
          <w:color w:val="1F2937"/>
          <w:sz w:val="22"/>
          <w:szCs w:val="22"/>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Helvetica" w:cs="Helvetica" w:eastAsia="Helvetica" w:hAnsi="Helvetica"/>
          <w:color w:val="1F2937"/>
          <w:sz w:val="22"/>
          <w:szCs w:val="22"/>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Helvetica" w:cs="Helvetica" w:eastAsia="Helvetica" w:hAnsi="Helvetica"/>
          <w:color w:val="1F2937"/>
          <w:sz w:val="22"/>
          <w:szCs w:val="22"/>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 below tests the missing case directly.</w:t>
      </w:r>
    </w:p>
    <w:p>
      <w:r>
        <w:br w:type="page"/>
      </w:r>
    </w:p>
    <w:p>
      <w:pPr>
        <w:pStyle w:val="Heading1"/>
      </w:pPr>
      <w:r>
        <w:rPr>
          <w:rFonts w:ascii="Helvetica" w:cs="Helvetica" w:eastAsia="Helvetica" w:hAnsi="Helvetica"/>
          <w:b/>
          <w:bCs/>
          <w:color w:val="111827"/>
          <w:sz w:val="34"/>
          <w:szCs w:val="34"/>
        </w:rPr>
        <w:t xml:space="preserve">3  Study 1: materials and methods</w:t>
      </w:r>
    </w:p>
    <w:p>
      <w:pPr>
        <w:spacing w:after="120" w:line="336"/>
      </w:pPr>
      <w:r>
        <w:rPr>
          <w:rFonts w:ascii="Helvetica" w:cs="Helvetica" w:eastAsia="Helvetica" w:hAnsi="Helvetica"/>
          <w:color w:val="1F2937"/>
          <w:sz w:val="22"/>
          <w:szCs w:val="22"/>
        </w:rPr>
        <w:t xml:space="preserve">Study 1 tests reproducibility at the level of a single analytical output (one number per task). Study 2 (Section 5) raises this to a whole report.</w:t>
      </w:r>
    </w:p>
    <w:p>
      <w:pPr>
        <w:pStyle w:val="Heading2"/>
      </w:pPr>
      <w:r>
        <w:rPr>
          <w:rFonts w:ascii="Helvetica" w:cs="Helvetica" w:eastAsia="Helvetica" w:hAnsi="Helvetica"/>
          <w:b/>
          <w:bCs/>
          <w:color w:val="111827"/>
          <w:sz w:val="26"/>
          <w:szCs w:val="26"/>
        </w:rPr>
        <w:t xml:space="preserve">3.1  Rationale and hypotheses</w:t>
      </w:r>
    </w:p>
    <w:p>
      <w:pPr>
        <w:spacing w:after="120" w:line="336"/>
      </w:pPr>
      <w:r>
        <w:rPr>
          <w:rFonts w:ascii="Helvetica" w:cs="Helvetica" w:eastAsia="Helvetica" w:hAnsi="Helvetica"/>
          <w:color w:val="1F2937"/>
          <w:sz w:val="22"/>
          <w:szCs w:val="22"/>
        </w:rPr>
        <w:t xml:space="preserve">We expected that (H1) richer, more structured skills reduce run to run variation; (H2) the reduction comes from parts that fix the analysis (input and output contracts, fixed parameters and seeds, an explicit method, and warnings about mistakes) rather than from length; and (H3) reproducibility and validity are different, so a skill can make an analysis consistent without making it correct, and the reverse. To tell these apart we added one skill feature at a time, rather than comparing a single skill against no skill.</w:t>
      </w:r>
    </w:p>
    <w:p>
      <w:pPr>
        <w:pStyle w:val="Heading2"/>
      </w:pPr>
      <w:r>
        <w:rPr>
          <w:rFonts w:ascii="Helvetica" w:cs="Helvetica" w:eastAsia="Helvetica" w:hAnsi="Helvetica"/>
          <w:b/>
          <w:bCs/>
          <w:color w:val="111827"/>
          <w:sz w:val="26"/>
          <w:szCs w:val="26"/>
        </w:rPr>
        <w:t xml:space="preserve">3.2  Design</w:t>
      </w:r>
    </w:p>
    <w:p>
      <w:pPr>
        <w:spacing w:after="120" w:line="336"/>
      </w:pPr>
      <w:r>
        <w:rPr>
          <w:rFonts w:ascii="Helvetica" w:cs="Helvetica" w:eastAsia="Helvetica" w:hAnsi="Helvetica"/>
          <w:color w:val="1F2937"/>
          <w:sz w:val="22"/>
          <w:szCs w:val="22"/>
        </w:rPr>
        <w:t xml:space="preserve">We ran a fully crossed design of 4 tasks by 5 skill levels by 2 languages (Python and R) with 10 independent replicate runs per cell, giving 400 runs. Each run was a fresh autonomous LLM agent, a general-purpose coding agent built on the same underlying model, given the same prompt, told to run the analysis (Python or R) against a fixed local data file and return a structured result. Within a cell all 10 prompts were identical, so the only source of variation was the agent's own run to run stochasticity, which is the variation the literature describes. Runs were orchestrated independently, and no run could see another run's output. The two languages let us test a stronger form of reproducibility, namely whether independent implementations in different languages reach the same answer, which is results reproducibility in the sense of Goodman et al. (2016).</w:t>
      </w:r>
    </w:p>
    <w:p>
      <w:pPr>
        <w:pStyle w:val="Heading2"/>
      </w:pPr>
      <w:r>
        <w:rPr>
          <w:rFonts w:ascii="Helvetica" w:cs="Helvetica" w:eastAsia="Helvetica" w:hAnsi="Helvetica"/>
          <w:b/>
          <w:bCs/>
          <w:color w:val="111827"/>
          <w:sz w:val="26"/>
          <w:szCs w:val="26"/>
        </w:rPr>
        <w:t xml:space="preserve">3.3  Tasks and datasets</w:t>
      </w:r>
    </w:p>
    <w:p>
      <w:pPr>
        <w:spacing w:after="120" w:line="336"/>
      </w:pPr>
      <w:r>
        <w:rPr>
          <w:rFonts w:ascii="Helvetica" w:cs="Helvetica" w:eastAsia="Helvetica" w:hAnsi="Helvetica"/>
          <w:color w:val="1F2937"/>
          <w:sz w:val="22"/>
          <w:szCs w:val="22"/>
        </w:rPr>
        <w:t xml:space="preserve">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r>
    </w:tbl>
    <w:p>
      <w:pPr>
        <w:spacing w:after="160" w:line="300"/>
      </w:pPr>
      <w:r>
        <w:rPr>
          <w:rFonts w:ascii="Helvetica" w:cs="Helvetica" w:eastAsia="Helvetica" w:hAnsi="Helvetica"/>
          <w:i/>
          <w:iCs/>
          <w:color w:val="6B7280"/>
          <w:sz w:val="18"/>
          <w:szCs w:val="18"/>
        </w:rPr>
        <w:t xml:space="preserve">Table 1. The four analysis tasks. Each reference is the value from the fully specified recipe, computed independently. The T4 reference equals the value that the operational LTEM database tool reports for the same region and year.</w:t>
      </w:r>
    </w:p>
    <w:p>
      <w:pPr>
        <w:spacing w:after="120" w:line="336"/>
      </w:pPr>
      <w:r>
        <w:rPr>
          <w:rFonts w:ascii="Helvetica" w:cs="Helvetica" w:eastAsia="Helvetica" w:hAnsi="Helvetica"/>
          <w:color w:val="1F2937"/>
          <w:sz w:val="22"/>
          <w:szCs w:val="22"/>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Helvetica" w:cs="Helvetica" w:eastAsia="Helvetica" w:hAnsi="Helvetica"/>
          <w:b/>
          <w:bCs/>
          <w:color w:val="111827"/>
          <w:sz w:val="26"/>
          <w:szCs w:val="26"/>
        </w:rPr>
        <w:t xml:space="preserve">3.4  Skill levels</w:t>
      </w:r>
    </w:p>
    <w:p>
      <w:pPr>
        <w:spacing w:after="120" w:line="336"/>
      </w:pPr>
      <w:r>
        <w:rPr>
          <w:rFonts w:ascii="Helvetica" w:cs="Helvetica" w:eastAsia="Helvetica" w:hAnsi="Helvetica"/>
          <w:color w:val="1F2937"/>
          <w:sz w:val="22"/>
          <w:szCs w:val="22"/>
        </w:rPr>
        <w:t xml:space="preserve">The variable we changed was the content of an instruction block placed before the same task. Each level adds structure to the one before it, so the step between two levels shows what one skill feature contributes (Table 2). The full text of all 20 prompts (4 tasks by 5 levels) is in the Supporting Information (S5).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Warnings about mistakes</w:t>
            </w:r>
          </w:p>
        </w:tc>
      </w:tr>
    </w:tbl>
    <w:p>
      <w:pPr>
        <w:spacing w:after="160" w:line="300"/>
      </w:pPr>
      <w:r>
        <w:rPr>
          <w:rFonts w:ascii="Helvetica" w:cs="Helvetica" w:eastAsia="Helvetica" w:hAnsi="Helvetica"/>
          <w:i/>
          <w:iCs/>
          <w:color w:val="6B7280"/>
          <w:sz w:val="18"/>
          <w:szCs w:val="18"/>
        </w:rPr>
        <w:t xml:space="preserve">Table 2. The five skill levels, each adding to the one before it. This is the variable we changed.</w:t>
      </w:r>
    </w:p>
    <w:p>
      <w:pPr>
        <w:pStyle w:val="Heading2"/>
      </w:pPr>
      <w:r>
        <w:rPr>
          <w:rFonts w:ascii="Helvetica" w:cs="Helvetica" w:eastAsia="Helvetica" w:hAnsi="Helvetica"/>
          <w:b/>
          <w:bCs/>
          <w:color w:val="111827"/>
          <w:sz w:val="26"/>
          <w:szCs w:val="26"/>
        </w:rPr>
        <w:t xml:space="preserve">3.5  Outcome measures</w:t>
      </w:r>
    </w:p>
    <w:p>
      <w:pPr>
        <w:spacing w:after="120" w:line="336"/>
      </w:pPr>
      <w:r>
        <w:rPr>
          <w:rFonts w:ascii="Helvetica" w:cs="Helvetica" w:eastAsia="Helvetica" w:hAnsi="Helvetica"/>
          <w:color w:val="1F2937"/>
          <w:sz w:val="22"/>
          <w:szCs w:val="22"/>
        </w:rPr>
        <w:t xml:space="preserve">For each cell we scored two things across the 10 runs. For run to run reproducibility we used the standard deviation (SD) and the coefficient of variation of the main output, the number of distinct answers within a set tolerance, and the exact-match rate, meaning the share of runs equal to the most common answer. For validity we used the share of runs whose output matched the independent reference within tolerance. We also recorded the most common method, test, or model, and for T1 the reported sign. Tolerances were 10⁻³ for correlation, accuracy, and η², and 10⁻² (biomass units) for T4.</w:t>
      </w:r>
    </w:p>
    <w:p>
      <w:pPr>
        <w:pStyle w:val="Heading2"/>
      </w:pPr>
      <w:r>
        <w:rPr>
          <w:rFonts w:ascii="Helvetica" w:cs="Helvetica" w:eastAsia="Helvetica" w:hAnsi="Helvetica"/>
          <w:b/>
          <w:bCs/>
          <w:color w:val="111827"/>
          <w:sz w:val="26"/>
          <w:szCs w:val="26"/>
        </w:rPr>
        <w:t xml:space="preserve">3.6  Statistical analysis</w:t>
      </w:r>
    </w:p>
    <w:p>
      <w:pPr>
        <w:spacing w:after="120" w:line="336"/>
      </w:pPr>
      <w:r>
        <w:rPr>
          <w:rFonts w:ascii="Helvetica" w:cs="Helvetica" w:eastAsia="Helvetica" w:hAnsi="Helvetica"/>
          <w:color w:val="1F2937"/>
          <w:sz w:val="22"/>
          <w:szCs w:val="22"/>
        </w:rPr>
        <w:t xml:space="preserve">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Helvetica" w:cs="Helvetica" w:eastAsia="Helvetica" w:hAnsi="Helvetica"/>
          <w:b/>
          <w:bCs/>
          <w:color w:val="111827"/>
          <w:sz w:val="26"/>
          <w:szCs w:val="26"/>
        </w:rPr>
        <w:t xml:space="preserve">3.7  Openness</w:t>
      </w:r>
    </w:p>
    <w:p>
      <w:pPr>
        <w:spacing w:after="120" w:line="336"/>
      </w:pPr>
      <w:r>
        <w:rPr>
          <w:rFonts w:ascii="Helvetica" w:cs="Helvetica" w:eastAsia="Helvetica" w:hAnsi="Helvetica"/>
          <w:color w:val="1F2937"/>
          <w:sz w:val="22"/>
          <w:szCs w:val="22"/>
        </w:rPr>
        <w:t xml:space="preserve">The experiment is self-contained and can be re-run. The three data files, all 40 prompts (20 for Python and 20 for R), the two orchestration scripts that launched the 400 runs, every run's structured output, and the analysis scripts that regenerate all tables and figures are archived (see Data availability and Supporting Information S5 to S8).</w:t>
      </w:r>
    </w:p>
    <w:p>
      <w:r>
        <w:br w:type="page"/>
      </w:r>
    </w:p>
    <w:p>
      <w:pPr>
        <w:pStyle w:val="Heading1"/>
      </w:pPr>
      <w:r>
        <w:rPr>
          <w:rFonts w:ascii="Helvetica" w:cs="Helvetica" w:eastAsia="Helvetica" w:hAnsi="Helvetica"/>
          <w:b/>
          <w:bCs/>
          <w:color w:val="111827"/>
          <w:sz w:val="34"/>
          <w:szCs w:val="34"/>
        </w:rPr>
        <w:t xml:space="preserve">4  Study 1: results</w:t>
      </w:r>
    </w:p>
    <w:p>
      <w:pPr>
        <w:spacing w:after="120" w:line="336"/>
      </w:pPr>
      <w:r>
        <w:rPr>
          <w:rFonts w:ascii="Helvetica" w:cs="Helvetica" w:eastAsia="Helvetica" w:hAnsi="Helvetica"/>
          <w:color w:val="1F2937"/>
          <w:sz w:val="22"/>
          <w:szCs w:val="22"/>
        </w:rPr>
        <w:t xml:space="preserve">All 200 runs finished (10 per cell). Table 3 gives reproducibility and validity by task and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60"/>
        <w:gridCol w:w="1400"/>
        <w:gridCol w:w="1200"/>
        <w:gridCol w:w="1100"/>
      </w:tblGrid>
      <w:tr>
        <w:trPr>
          <w:tblHeader/>
        </w:trPr>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1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SD</w:t>
            </w:r>
          </w:p>
        </w:tc>
        <w:tc>
          <w:tcPr>
            <w:tcW w:type="dxa" w:w="12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Distinct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Exact-match</w:t>
            </w:r>
          </w:p>
        </w:tc>
        <w:tc>
          <w:tcPr>
            <w:tcW w:type="dxa" w:w="1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Validity</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Diff. from ref.</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clf</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0.0061</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2</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0.0090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0.012</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0.0086</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40%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0.005</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bl>
    <w:p>
      <w:pPr>
        <w:spacing w:after="160" w:line="300"/>
      </w:pPr>
      <w:r>
        <w:rPr>
          <w:rFonts w:ascii="Helvetica" w:cs="Helvetica" w:eastAsia="Helvetica" w:hAnsi="Helvetica"/>
          <w:i/>
          <w:iCs/>
          <w:color w:val="6B7280"/>
          <w:sz w:val="18"/>
          <w:szCs w:val="18"/>
        </w:rPr>
        <w:t xml:space="preserve">Table 3. Output reproducibility and validity by task and level (10 runs per cell). SD and the difference from the reference are in the units of each task.</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pStyle w:val="Heading2"/>
      </w:pPr>
      <w:r>
        <w:rPr>
          <w:rFonts w:ascii="Helvetica" w:cs="Helvetica" w:eastAsia="Helvetica" w:hAnsi="Helvetica"/>
          <w:b/>
          <w:bCs/>
          <w:color w:val="111827"/>
          <w:sz w:val="26"/>
          <w:szCs w:val="26"/>
        </w:rPr>
        <w:t xml:space="preserve">4.1  Reproducibility was high by default, except where a task involved randomness</w:t>
      </w:r>
    </w:p>
    <w:p>
      <w:pPr>
        <w:spacing w:after="120" w:line="336"/>
      </w:pPr>
      <w:r>
        <w:rPr>
          <w:rFonts w:ascii="Helvetica" w:cs="Helvetica" w:eastAsia="Helvetica" w:hAnsi="Helvetica"/>
          <w:color w:val="1F2937"/>
          <w:sz w:val="22"/>
          <w:szCs w:val="22"/>
        </w:rPr>
        <w:t xml:space="preserve">Three of the four tasks (T1, T3, T4) were 100% reproducible at every level, including no skill. Agents settled on one common approach (pooled Pearson correlation, one-way ANOVA with η², and summing biomass within a transect). The mistake of averaging biomass across rows, which is about 30 times too low, was never made, even at C0. The only task with leftover run to run variation was the stochastic classifier T2 (Figure 2).</w:t>
      </w:r>
    </w:p>
    <w:p>
      <w:pPr>
        <w:spacing w:after="80" w:before="120"/>
        <w:jc w:val="center"/>
      </w:pPr>
      <w:r>
        <w:drawing>
          <wp:inline distT="0" distB="0" distL="0" distR="0">
            <wp:extent cx="5715000" cy="2190750"/>
            <wp:effectExtent t="0" r="0" b="0" l="0"/>
            <wp:docPr id="1" name="Reproducibility gradient by condition" descr="Reproducibility gradient by condition" title="Reproducibility gradient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907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2. Run to run standard deviation (left) and coefficient of variation (right) by level, one line per task. Only T2 (orange) shows variation. It rises slightly at C1, where a basic skill is no better than none, and drops to zero at C3. T1, T3, and T4 sit on the zero line.</w:t>
      </w:r>
    </w:p>
    <w:p>
      <w:pPr>
        <w:pStyle w:val="Heading2"/>
      </w:pPr>
      <w:r>
        <w:rPr>
          <w:rFonts w:ascii="Helvetica" w:cs="Helvetica" w:eastAsia="Helvetica" w:hAnsi="Helvetica"/>
          <w:b/>
          <w:bCs/>
          <w:color w:val="111827"/>
          <w:sz w:val="26"/>
          <w:szCs w:val="26"/>
        </w:rPr>
        <w:t xml:space="preserve">4.2  Fixing the random settings removed the variation (T2)</w:t>
      </w:r>
    </w:p>
    <w:p>
      <w:pPr>
        <w:spacing w:after="120" w:line="336"/>
      </w:pPr>
      <w:r>
        <w:rPr>
          <w:rFonts w:ascii="Helvetica" w:cs="Helvetica" w:eastAsia="Helvetica" w:hAnsi="Helvetica"/>
          <w:color w:val="1F2937"/>
          <w:sz w:val="22"/>
          <w:szCs w:val="22"/>
        </w:rPr>
        <w:t xml:space="preserve">For T2, fixing the method (C2) was not enough. With the model fixed but the seed, split, and scaling still free, runs gave three distinct accuracies and only 50% agreement. Adding the random settings at C3 brought the variation to zero, and all 20 runs at C3 and C4 were identical and equal to the reference. Pooled run to run agreement rose from 16 of 30 at the low-skill levels (C0 to C2) to 20 of 20 at the high-skill levels (C3 and C4) (Fisher's exact P = 2.2×10⁻⁴). The pooled low-skill SD was 0.0086, with a bootstrap 95% confidence interval of [0.0063, 0.0109] that excludes zero, against exactly 0.0000 at high skill. Validity rose in step, from 12 of 30 to 20 of 20 (P = 8.4×10⁻⁶). The random seed and the related data handling are therefore the most useful skill parts for a task that involves randomness, and no lower level replaces them.</w:t>
      </w:r>
    </w:p>
    <w:p>
      <w:pPr>
        <w:pStyle w:val="Heading2"/>
      </w:pPr>
      <w:r>
        <w:rPr>
          <w:rFonts w:ascii="Helvetica" w:cs="Helvetica" w:eastAsia="Helvetica" w:hAnsi="Helvetica"/>
          <w:b/>
          <w:bCs/>
          <w:color w:val="111827"/>
          <w:sz w:val="26"/>
          <w:szCs w:val="26"/>
        </w:rPr>
        <w:t xml:space="preserve">4.3  Reproducible is not the same as correct (T4)</w:t>
      </w:r>
    </w:p>
    <w:p>
      <w:pPr>
        <w:spacing w:after="120" w:line="336"/>
      </w:pPr>
      <w:r>
        <w:rPr>
          <w:rFonts w:ascii="Helvetica" w:cs="Helvetica" w:eastAsia="Helvetica" w:hAnsi="Helvetica"/>
          <w:color w:val="1F2937"/>
          <w:sz w:val="22"/>
          <w:szCs w:val="22"/>
        </w:rPr>
        <w:t xml:space="preserve">The reef fish biomass task separated the two outcomes clearly. It was fully reproducible at every level, with all 10 runs identical in each cell, yet wrong under no skill or a basic skill. All 20 low-skill runs agreed on 3.2952, because they defined the survey unit as reef by habitat by transect, while the reference is 3.4642 (reef by transect). The fix came from the input and method contract at C2, which set the survey unit, and not from the seed (not relevant here) or the do-not rules. Validity rose from 0 of 20 before the contract (C0 and C1) to 30 of 30 with the contract and above (C2 to C4) (Fisher's exact P = 2.1×10⁻¹⁴), while reproducibility stayed at 100% throughout. A consistent pipeline can consistently give the wrong number, and only a clear contract points it at the intended quantity.</w:t>
      </w:r>
    </w:p>
    <w:p>
      <w:pPr>
        <w:pStyle w:val="Heading2"/>
      </w:pPr>
      <w:r>
        <w:rPr>
          <w:rFonts w:ascii="Helvetica" w:cs="Helvetica" w:eastAsia="Helvetica" w:hAnsi="Helvetica"/>
          <w:b/>
          <w:bCs/>
          <w:color w:val="111827"/>
          <w:sz w:val="26"/>
          <w:szCs w:val="26"/>
        </w:rPr>
        <w:t xml:space="preserve">4.4  A long but vague skill did not help, and could hurt (T2)</w:t>
      </w:r>
    </w:p>
    <w:p>
      <w:pPr>
        <w:spacing w:after="120" w:line="336"/>
      </w:pPr>
      <w:r>
        <w:rPr>
          <w:rFonts w:ascii="Helvetica" w:cs="Helvetica" w:eastAsia="Helvetica" w:hAnsi="Helvetica"/>
          <w:color w:val="1F2937"/>
          <w:sz w:val="22"/>
          <w:szCs w:val="22"/>
        </w:rPr>
        <w:t xml:space="preserve">Adding a long but vague skill (C1) did not improve T2 and, on balance, made it worse. Run to run SD rose from 0.006 (C0) to 0.009 (C1), and validity fell from 50% to 30%, because the instruction to train a classifier invited a free choice of model. Agents drifted to a random forest with varied splits, which moved results away from the reference. Length was not the active part; constraint was. A separate iris classifier task showed the same pattern more strongly, with a basic-skill SD of 0.044 against 0.000 for the fully specified skill.</w:t>
      </w:r>
    </w:p>
    <w:p>
      <w:pPr>
        <w:pStyle w:val="Heading2"/>
      </w:pPr>
      <w:r>
        <w:rPr>
          <w:rFonts w:ascii="Helvetica" w:cs="Helvetica" w:eastAsia="Helvetica" w:hAnsi="Helvetica"/>
          <w:b/>
          <w:bCs/>
          <w:color w:val="111827"/>
          <w:sz w:val="26"/>
          <w:szCs w:val="26"/>
        </w:rPr>
        <w:t xml:space="preserve">4.5  Richer skills did not harm the fully specified results</w:t>
      </w:r>
    </w:p>
    <w:p>
      <w:pPr>
        <w:spacing w:after="120" w:line="336"/>
      </w:pPr>
      <w:r>
        <w:rPr>
          <w:rFonts w:ascii="Helvetica" w:cs="Helvetica" w:eastAsia="Helvetica" w:hAnsi="Helvetica"/>
          <w:color w:val="1F2937"/>
          <w:sz w:val="22"/>
          <w:szCs w:val="22"/>
        </w:rPr>
        <w:t xml:space="preserve">The two richest levels (C3 and C4) reached 100% reproducibility and 100% validity on every task. The check list and the do-not rules added at C4 caused no measurable harm where they were not the deciding factor, and they act as low-cost insurance against the traps in each task (a within-species correlation, a row-level biomass mean, and a dropped seed).</w:t>
      </w:r>
    </w:p>
    <w:p>
      <w:pPr>
        <w:pStyle w:val="Heading2"/>
      </w:pPr>
      <w:r>
        <w:rPr>
          <w:rFonts w:ascii="Helvetica" w:cs="Helvetica" w:eastAsia="Helvetica" w:hAnsi="Helvetica"/>
          <w:b/>
          <w:bCs/>
          <w:color w:val="111827"/>
          <w:sz w:val="26"/>
          <w:szCs w:val="26"/>
        </w:rPr>
        <w:t xml:space="preserve">4.6  The same pattern holds in R, and the deterministic tasks agree across languages</w:t>
      </w:r>
    </w:p>
    <w:p>
      <w:pPr>
        <w:spacing w:after="120" w:line="336"/>
      </w:pPr>
      <w:r>
        <w:rPr>
          <w:rFonts w:ascii="Helvetica" w:cs="Helvetica" w:eastAsia="Helvetica" w:hAnsi="Helvetica"/>
          <w:color w:val="1F2937"/>
          <w:sz w:val="22"/>
          <w:szCs w:val="22"/>
        </w:rPr>
        <w:t xml:space="preserve">The R runs repeated the Python pattern (Figure 3). In R, T1 and T3 were reproducible and correct at every level, T4 was reproducible but wrong until the contract at C2, and the classifier T2 varied at the low levels and then dropped to zero variation at C3. So the main results do not depend on the language.</w:t>
      </w:r>
    </w:p>
    <w:p>
      <w:pPr>
        <w:spacing w:after="120" w:line="336"/>
      </w:pPr>
      <w:r>
        <w:rPr>
          <w:rFonts w:ascii="Helvetica" w:cs="Helvetica" w:eastAsia="Helvetica" w:hAnsi="Helvetica"/>
          <w:color w:val="1F2937"/>
          <w:sz w:val="22"/>
          <w:szCs w:val="22"/>
        </w:rPr>
        <w:t xml:space="preserve">Comparing the two languages directly is the stronger test (Table 4). For the three deterministic tasks, Python and R gave the same value at every level, to the tolerance used. This held even where the value was wrong. On the biomass task, both languages agreed on 3.2952 at the low levels, so the two independent implementations reproduced the same wrong number, and both moved to 3.4642 once the contract set the survey unit. The classifier was the only task where Python and R did not match. Their fully specified values (0.8806 and 0.8657) differ by about 0.015, because scikit-learn and R use different models and different random number generators. Each language was still perfectly reproducible within itself once the seed was fixed, but they cannot be made bit-for-bit equal across languages, so a cross-language comparison of a random method has to use a tolerance rather than exact 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100"/>
        <w:gridCol w:w="2460"/>
      </w:tblGrid>
      <w:tr>
        <w:trPr>
          <w:tblHeader/>
        </w:trPr>
        <w:tc>
          <w:tcPr>
            <w:tcW w:type="dxa" w:w="26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2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Python (full skill)</w:t>
            </w:r>
          </w:p>
        </w:tc>
        <w:tc>
          <w:tcPr>
            <w:tcW w:type="dxa" w:w="2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 (full skill)</w:t>
            </w:r>
          </w:p>
        </w:tc>
        <w:tc>
          <w:tcPr>
            <w:tcW w:type="dxa" w:w="24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Same across languages?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correlation</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classifier</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0.8657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No (differ by ~0.015)</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 (η²)</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bl>
    <w:p>
      <w:pPr>
        <w:spacing w:after="160" w:line="300"/>
      </w:pPr>
      <w:r>
        <w:rPr>
          <w:rFonts w:ascii="Helvetica" w:cs="Helvetica" w:eastAsia="Helvetica" w:hAnsi="Helvetica"/>
          <w:i/>
          <w:iCs/>
          <w:color w:val="6B7280"/>
          <w:sz w:val="18"/>
          <w:szCs w:val="18"/>
        </w:rPr>
        <w:t xml:space="preserve">Table 4. Cross-language comparison at the full skill level (C4). The three deterministic tasks agree exactly. The classifier does not, because the two languages use different models and random number generators.</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3. Output by skill level in Python (blue) and R (red), 10 runs per cell per language. Dashed lines show the reference for each language. T1, T3, and T4 sit on one shared line in both languages, including the wrong value (3.2952) for T4 at C0 and C1. T2 sits on two different lines, because the Python and R classifiers do not give the same accuracy.</w:t>
      </w:r>
    </w:p>
    <w:p>
      <w:r>
        <w:br w:type="page"/>
      </w:r>
    </w:p>
    <w:p>
      <w:pPr>
        <w:pStyle w:val="Heading1"/>
      </w:pPr>
      <w:r>
        <w:rPr>
          <w:rFonts w:ascii="Helvetica" w:cs="Helvetica" w:eastAsia="Helvetica" w:hAnsi="Helvetica"/>
          <w:b/>
          <w:bCs/>
          <w:color w:val="111827"/>
          <w:sz w:val="34"/>
          <w:szCs w:val="34"/>
        </w:rPr>
        <w:t xml:space="preserve">5  Study 2: reproducibility of a whole report</w:t>
      </w:r>
    </w:p>
    <w:p>
      <w:pPr>
        <w:spacing w:after="120" w:line="336"/>
      </w:pPr>
      <w:r>
        <w:rPr>
          <w:rFonts w:ascii="Helvetica" w:cs="Helvetica" w:eastAsia="Helvetica" w:hAnsi="Helvetica"/>
          <w:color w:val="1F2937"/>
          <w:sz w:val="22"/>
          <w:szCs w:val="22"/>
        </w:rPr>
        <w:t xml:space="preserve">Study 1 measured a single number. A real deliverable is usually a report with several analyses and written conclusions. Study 2 asks the same two questions for a whole report. Does the report use the statistics the skill specifies, which we call coherence, and do independent reports agree with each other, which is report reproducibility.</w:t>
      </w:r>
    </w:p>
    <w:p>
      <w:pPr>
        <w:pStyle w:val="Heading2"/>
      </w:pPr>
      <w:r>
        <w:rPr>
          <w:rFonts w:ascii="Helvetica" w:cs="Helvetica" w:eastAsia="Helvetica" w:hAnsi="Helvetica"/>
          <w:b/>
          <w:bCs/>
          <w:color w:val="111827"/>
          <w:sz w:val="26"/>
          <w:szCs w:val="26"/>
        </w:rPr>
        <w:t xml:space="preserve">5.1  Design</w:t>
      </w:r>
    </w:p>
    <w:p>
      <w:pPr>
        <w:spacing w:after="120" w:line="336"/>
      </w:pPr>
      <w:r>
        <w:rPr>
          <w:rFonts w:ascii="Helvetica" w:cs="Helvetica" w:eastAsia="Helvetica" w:hAnsi="Helvetica"/>
          <w:color w:val="1F2937"/>
          <w:sz w:val="22"/>
          <w:szCs w:val="22"/>
        </w:rPr>
        <w:t xml:space="preserve">Agents wrote a short data report on the Palmer Penguins dataset that answered several questions and ended with a conclusion. We used two versions. A standard report asked four common questions (a correlation, a group difference with an effect size, a sex-prediction accuracy, and per-species means). A hard report asked six questions that each have a real method fork, namely how many clusters to use, cross-validation or a single split for the accuracy, which predictors to put in a body-mass model, a t interval or a bootstrap for a confidence interval, a pooled or a within-species correlation, and whether to standardise before a principal component analysis. Each version had three conditions, which were no skill, a structure-only skill that fixes the sections but not the statistics, and a full skill that fixes the exact method, parameters, and missing-data rule for every question, with 8 reports per condition. A second judge agent then graded each report against one fixed rubric, the same rubric for every condition, and scored how many of the specified methods the report actually used. Reference values were computed independently. Full materials are in the Supporting Information and the repository.</w:t>
      </w:r>
    </w:p>
    <w:p>
      <w:pPr>
        <w:pStyle w:val="Heading2"/>
      </w:pPr>
      <w:r>
        <w:rPr>
          <w:rFonts w:ascii="Helvetica" w:cs="Helvetica" w:eastAsia="Helvetica" w:hAnsi="Helvetica"/>
          <w:b/>
          <w:bCs/>
          <w:color w:val="111827"/>
          <w:sz w:val="26"/>
          <w:szCs w:val="26"/>
        </w:rPr>
        <w:t xml:space="preserve">5.2  Results</w:t>
      </w:r>
    </w:p>
    <w:p>
      <w:pPr>
        <w:spacing w:after="120" w:line="336"/>
      </w:pPr>
      <w:r>
        <w:rPr>
          <w:rFonts w:ascii="Helvetica" w:cs="Helvetica" w:eastAsia="Helvetica" w:hAnsi="Helvetica"/>
          <w:color w:val="1F2937"/>
          <w:sz w:val="22"/>
          <w:szCs w:val="22"/>
        </w:rPr>
        <w:t xml:space="preserve">For the standard report, the reports were fully reproducible in every condition. Eight independent agents produced the same numbers and the same conclusions even with no skill, so reproducibility was already high and the skill did not need to fix it. What the skill fixed was coherence and validity. Coherence rose from 79% with no skill to 100% with the full skill, and validity from 75% to 100%. Without the full skill, every report used the machine-learning library's default 75/25 split for the classifier instead of the specified 80/20 split, so the reports were reproducible but wrong. The structure-only skill fixed the layout but not the statistics.</w:t>
      </w:r>
    </w:p>
    <w:p>
      <w:pPr>
        <w:spacing w:after="120" w:line="336"/>
      </w:pPr>
      <w:r>
        <w:rPr>
          <w:rFonts w:ascii="Helvetica" w:cs="Helvetica" w:eastAsia="Helvetica" w:hAnsi="Helvetica"/>
          <w:color w:val="1F2937"/>
          <w:sz w:val="22"/>
          <w:szCs w:val="22"/>
        </w:rPr>
        <w:t xml:space="preserve">The hard report, where each analysis has a real fork, tells the fuller story (Table 5, Figure 4). Now reproducibility broke as well. Without the skill, independent reports agreed on all of their numbers only half of the time (whole-report agreement 50%), coherence was 58%, and validity 56%. The full skill returned all three to 100%. Two kinds of failure appeared. Some analyses diverged from run to run, for example the species-accuracy question, where different reports used random forests, discriminant analysis, or logistic regression with different validation. Other analyses were reproducible but wrong, for example the clustering, where every no-skill report chose two clusters (the value that maximises the silhouette score) instead of the three species the skill specifies, and the body-mass model, where most reports added species and reached a higher R-squared. As in Study 1, the skill changed the outcome only where the default differed. Three of the six analyses did not diverge, because the agents' own default already matched the specified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900"/>
        <w:gridCol w:w="2000"/>
        <w:gridCol w:w="1900"/>
      </w:tblGrid>
      <w:tr>
        <w:trPr>
          <w:tblHeader/>
        </w:trPr>
        <w:tc>
          <w:tcPr>
            <w:tcW w:type="dxa" w:w="35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Metric</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No skill</w:t>
            </w:r>
          </w:p>
        </w:tc>
        <w:tc>
          <w:tcPr>
            <w:tcW w:type="dxa" w:w="2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Structure skill</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Full skill</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Skill coherence (uses the specified statistics)</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58%</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69%</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Report reproducibility (all numbers agree)</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Validity (numbers match the reference)</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56%</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61%</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bl>
    <w:p>
      <w:pPr>
        <w:spacing w:after="160" w:line="300"/>
      </w:pPr>
      <w:r>
        <w:rPr>
          <w:rFonts w:ascii="Helvetica" w:cs="Helvetica" w:eastAsia="Helvetica" w:hAnsi="Helvetica"/>
          <w:i/>
          <w:iCs/>
          <w:color w:val="6B7280"/>
          <w:sz w:val="18"/>
          <w:szCs w:val="18"/>
        </w:rPr>
        <w:t xml:space="preserve">Table 5. Hard report with six forky analyses, 8 reports per condition. Only the full methods skill made the report coherent, reproducible, and valid at the same time.</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4.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Helvetica" w:cs="Helvetica" w:eastAsia="Helvetica" w:hAnsi="Helvetica"/>
          <w:b/>
          <w:bCs/>
          <w:color w:val="111827"/>
          <w:sz w:val="34"/>
          <w:szCs w:val="34"/>
        </w:rPr>
        <w:t xml:space="preserve">6  A standard for good skills and a repository for MCP and skills</w:t>
      </w:r>
    </w:p>
    <w:p>
      <w:pPr>
        <w:spacing w:after="120" w:line="336"/>
      </w:pPr>
      <w:r>
        <w:rPr>
          <w:rFonts w:ascii="Helvetica" w:cs="Helvetica" w:eastAsia="Helvetica" w:hAnsi="Helvetica"/>
          <w:color w:val="1F2937"/>
          <w:sz w:val="22"/>
          <w:szCs w:val="22"/>
        </w:rPr>
        <w:t xml:space="preserve">Software packages changed analysis. Curated repositories such as CRAN for R and Bioconductor for bioinformatics gave the community versioned, documented, and tested reusable units, and the analyses built on them became easier to reproduce. Skills are becoming a reusable unit of the same kind for LLMs and their tools, now that tools are reached through a shared interface such as the Model Context Protocol (MCP). Today skills are shared informally, without versions, tests, or review, much as analysis code was before package repositories. The two experiments say what such a repository should require of a skill, both in what the skill contains and in what it is tested for.</w:t>
      </w:r>
    </w:p>
    <w:p>
      <w:pPr>
        <w:pStyle w:val="Heading2"/>
      </w:pPr>
      <w:r>
        <w:rPr>
          <w:rFonts w:ascii="Helvetica" w:cs="Helvetica" w:eastAsia="Helvetica" w:hAnsi="Helvetica"/>
          <w:b/>
          <w:bCs/>
          <w:color w:val="111827"/>
          <w:sz w:val="26"/>
          <w:szCs w:val="26"/>
        </w:rPr>
        <w:t xml:space="preserve">6.1  What a good skill must contain</w:t>
      </w:r>
    </w:p>
    <w:p>
      <w:pPr>
        <w:spacing w:after="120" w:line="336"/>
      </w:pPr>
      <w:r>
        <w:rPr>
          <w:rFonts w:ascii="Helvetica" w:cs="Helvetica" w:eastAsia="Helvetica" w:hAnsi="Helvetica"/>
          <w:color w:val="1F2937"/>
          <w:sz w:val="22"/>
          <w:szCs w:val="22"/>
        </w:rPr>
        <w:t xml:space="preserve">The two experiments give an ordered list of what a skill needs. The order depends on the task's main source of variation, which the author should identify first.</w:t>
      </w:r>
    </w:p>
    <w:p>
      <w:pPr>
        <w:pStyle w:val="ListParagraph"/>
        <w:numPr>
          <w:ilvl w:val="0"/>
          <w:numId w:val="2"/>
        </w:numPr>
        <w:spacing w:after="60" w:line="320"/>
      </w:pPr>
      <w:r>
        <w:rPr>
          <w:rFonts w:ascii="Helvetica" w:cs="Helvetica" w:eastAsia="Helvetica" w:hAnsi="Helvetica"/>
          <w:color w:val="1F2937"/>
          <w:sz w:val="22"/>
          <w:szCs w:val="22"/>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Helvetica" w:cs="Helvetica" w:eastAsia="Helvetica" w:hAnsi="Helvetica"/>
          <w:color w:val="1F2937"/>
          <w:sz w:val="22"/>
          <w:szCs w:val="22"/>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Helvetica" w:cs="Helvetica" w:eastAsia="Helvetica" w:hAnsi="Helvetica"/>
          <w:color w:val="1F2937"/>
          <w:sz w:val="22"/>
          <w:szCs w:val="22"/>
        </w:rPr>
        <w:t xml:space="preserve">Declare a reference value and a tolerance, so the skill can be checked for being correct, and not only for agreeing with itself.</w:t>
      </w:r>
    </w:p>
    <w:p>
      <w:pPr>
        <w:pStyle w:val="ListParagraph"/>
        <w:numPr>
          <w:ilvl w:val="0"/>
          <w:numId w:val="2"/>
        </w:numPr>
        <w:spacing w:after="60" w:line="320"/>
      </w:pPr>
      <w:r>
        <w:rPr>
          <w:rFonts w:ascii="Helvetica" w:cs="Helvetica" w:eastAsia="Helvetica" w:hAnsi="Helvetica"/>
          <w:color w:val="1F2937"/>
          <w:sz w:val="22"/>
          <w:szCs w:val="22"/>
        </w:rPr>
        <w:t xml:space="preserve">Add do-not rules and a validation check list. These are cheap guards that close known traps, such as a within-species correlation, a row-level biomass mean, or a dropped seed.</w:t>
      </w:r>
    </w:p>
    <w:p>
      <w:pPr>
        <w:spacing w:after="120" w:line="336"/>
      </w:pPr>
      <w:r>
        <w:rPr>
          <w:rFonts w:ascii="Helvetica" w:cs="Helvetica" w:eastAsia="Helvetica" w:hAnsi="Helvetica"/>
          <w:color w:val="1F2937"/>
          <w:sz w:val="22"/>
          <w:szCs w:val="22"/>
        </w:rPr>
        <w:t xml:space="preserve">Length, generic step lists, and encouragement without fixed choices did not help on their own. A skill improves the output in proportion to the number of free choices it removes, not the number of words it adds, so a good skill reads as a contract with fixed parameters, exact calls, named unit definitions, and clear do-not rules, not as a tutorial. Fixing only the report structure, without fixing the statistics, did not make the analysis reproducible or correct (Study 2), so a skill must fix the methods, not just the layout.</w:t>
      </w:r>
    </w:p>
    <w:p>
      <w:pPr>
        <w:pStyle w:val="Heading2"/>
      </w:pPr>
      <w:r>
        <w:rPr>
          <w:rFonts w:ascii="Helvetica" w:cs="Helvetica" w:eastAsia="Helvetica" w:hAnsi="Helvetica"/>
          <w:b/>
          <w:bCs/>
          <w:color w:val="111827"/>
          <w:sz w:val="26"/>
          <w:szCs w:val="26"/>
        </w:rPr>
        <w:t xml:space="preserve">6.2  Checks a skill must pass before it is published</w:t>
      </w:r>
    </w:p>
    <w:p>
      <w:pPr>
        <w:spacing w:after="120" w:line="336"/>
      </w:pPr>
      <w:r>
        <w:rPr>
          <w:rFonts w:ascii="Helvetica" w:cs="Helvetica" w:eastAsia="Helvetica" w:hAnsi="Helvetica"/>
          <w:color w:val="1F2937"/>
          <w:sz w:val="22"/>
          <w:szCs w:val="22"/>
        </w:rPr>
        <w:t xml:space="preserve">The measures we used to score the experiments can be run automatically, so a repository can screen a skill the way R CMD check screens an R package before it reaches CRAN. We propose three checks. A self-consistency check runs the skill several times on fixed data and confirms the outputs agree within the stated tolerance (Wang et al., 2023); a skill whose outputs do not converge is not ready. A reference check compares the output against a stored reference value within the tolerance the skill declares, so the skill is tested for being correct, not only for agreeing with itself, because reproducibility and validity are separate (Section 4.3). A coherence check has an independent grader read the finished output and confirm it used the methods the skill specifies, which a short judge rubric did reliably in Study 2. A skill passes when it is reproducible, valid, and coherent with its own stated methods.</w:t>
      </w:r>
    </w:p>
    <w:p>
      <w:pPr>
        <w:pStyle w:val="Heading2"/>
      </w:pPr>
      <w:r>
        <w:rPr>
          <w:rFonts w:ascii="Helvetica" w:cs="Helvetica" w:eastAsia="Helvetica" w:hAnsi="Helvetica"/>
          <w:b/>
          <w:bCs/>
          <w:color w:val="111827"/>
          <w:sz w:val="26"/>
          <w:szCs w:val="26"/>
        </w:rPr>
        <w:t xml:space="preserve">6.3  A curated repository for MCP and skills</w:t>
      </w:r>
    </w:p>
    <w:p>
      <w:pPr>
        <w:spacing w:after="120" w:line="336"/>
      </w:pPr>
      <w:r>
        <w:rPr>
          <w:rFonts w:ascii="Helvetica" w:cs="Helvetica" w:eastAsia="Helvetica" w:hAnsi="Helvetica"/>
          <w:color w:val="1F2937"/>
          <w:sz w:val="22"/>
          <w:szCs w:val="22"/>
        </w:rPr>
        <w:t xml:space="preserve">We are building such a repository for MCP servers and skills, modelled on CRAN and Bioconductor. Each skill is a versioned package with metadata (author, version, licence, and the reproducibility tolerances it guarantees), a declared list of the tools and data sources it depends on, worked examples, and the three checks above run when it is submitted and when it changes. Provenance is recorded, so a result stays traceable to the exact skill version, tool versions, and settings that produced it, which puts the FAIR (Wilkinson et al., 2016) and FAIR4RS (Barker et al., 2022) principles to work for AI skills. Curation and review, the same practices that let package repositories raise the reproducibility of ordinary analysis code, are what would turn a loose collection of prompts into a dependable, shared, and citable body of analysis skills for ecology.</w:t>
      </w:r>
    </w:p>
    <w:p>
      <w:pPr>
        <w:pStyle w:val="Heading1"/>
      </w:pPr>
      <w:r>
        <w:rPr>
          <w:rFonts w:ascii="Helvetica" w:cs="Helvetica" w:eastAsia="Helvetica" w:hAnsi="Helvetica"/>
          <w:b/>
          <w:bCs/>
          <w:color w:val="111827"/>
          <w:sz w:val="34"/>
          <w:szCs w:val="34"/>
        </w:rPr>
        <w:t xml:space="preserve">7  Discussion</w:t>
      </w:r>
    </w:p>
    <w:p>
      <w:pPr>
        <w:pStyle w:val="Heading2"/>
      </w:pPr>
      <w:r>
        <w:rPr>
          <w:rFonts w:ascii="Helvetica" w:cs="Helvetica" w:eastAsia="Helvetica" w:hAnsi="Helvetica"/>
          <w:b/>
          <w:bCs/>
          <w:color w:val="111827"/>
          <w:sz w:val="26"/>
          <w:szCs w:val="26"/>
        </w:rPr>
        <w:t xml:space="preserve">7.1  Skills work by removing choices, and the part that matters depends on the task</w:t>
      </w:r>
    </w:p>
    <w:p>
      <w:pPr>
        <w:spacing w:after="120" w:line="336"/>
      </w:pPr>
      <w:r>
        <w:rPr>
          <w:rFonts w:ascii="Helvetica" w:cs="Helvetica" w:eastAsia="Helvetica" w:hAnsi="Helvetica"/>
          <w:color w:val="1F2937"/>
          <w:sz w:val="22"/>
          <w:szCs w:val="22"/>
        </w:rPr>
        <w:t xml:space="preserve">The experiments give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(C1) was the weakest of the skilled levels. A good skill finds the specific free choice that makes a task diverge and removes it.</w:t>
      </w:r>
    </w:p>
    <w:p>
      <w:pPr>
        <w:pStyle w:val="Heading2"/>
      </w:pPr>
      <w:r>
        <w:rPr>
          <w:rFonts w:ascii="Helvetica" w:cs="Helvetica" w:eastAsia="Helvetica" w:hAnsi="Helvetica"/>
          <w:b/>
          <w:bCs/>
          <w:color w:val="111827"/>
          <w:sz w:val="26"/>
          <w:szCs w:val="26"/>
        </w:rPr>
        <w:t xml:space="preserve">7.2  How this fits earlier work</w:t>
      </w:r>
    </w:p>
    <w:p>
      <w:pPr>
        <w:spacing w:after="120" w:line="336"/>
      </w:pPr>
      <w:r>
        <w:rPr>
          <w:rFonts w:ascii="Helvetica" w:cs="Helvetica" w:eastAsia="Helvetica" w:hAnsi="Helvetica"/>
          <w:color w:val="1F2937"/>
          <w:sz w:val="22"/>
          <w:szCs w:val="22"/>
        </w:rPr>
        <w:t xml:space="preserve">The experiment supports the points from the literature and fills the missing case. It shows the extra run to run variation that LLM help brings (T2). It supports the idea that structure helps, with a refinement, because only constraining structure helped. It supports measuring the output rather than the code (T4), where identical outputs were consistently wrong until a contract fixed the target quantity. No earlier study had tested AI skills against output reproducibility in ecology, and this experiment gives a first direct estimate.</w:t>
      </w:r>
    </w:p>
    <w:p>
      <w:pPr>
        <w:spacing w:after="120" w:line="336"/>
      </w:pPr>
      <w:r>
        <w:rPr>
          <w:rFonts w:ascii="Helvetica" w:cs="Helvetica" w:eastAsia="Helvetica" w:hAnsi="Helvetica"/>
          <w:color w:val="1F2937"/>
          <w:sz w:val="22"/>
          <w:szCs w:val="22"/>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Helvetica" w:cs="Helvetica" w:eastAsia="Helvetica" w:hAnsi="Helvetica"/>
          <w:b/>
          <w:bCs/>
          <w:color w:val="111827"/>
          <w:sz w:val="26"/>
          <w:szCs w:val="26"/>
        </w:rPr>
        <w:t xml:space="preserve">7.3  From single numbers to whole reports</w:t>
      </w:r>
    </w:p>
    <w:p>
      <w:pPr>
        <w:spacing w:after="120" w:line="336"/>
      </w:pPr>
      <w:r>
        <w:rPr>
          <w:rFonts w:ascii="Helvetica" w:cs="Helvetica" w:eastAsia="Helvetica" w:hAnsi="Helvetica"/>
          <w:color w:val="1F2937"/>
          <w:sz w:val="22"/>
          <w:szCs w:val="22"/>
        </w:rPr>
        <w:t xml:space="preserve">Study 2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Study 1,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Helvetica" w:cs="Helvetica" w:eastAsia="Helvetica" w:hAnsi="Helvetica"/>
          <w:b/>
          <w:bCs/>
          <w:color w:val="111827"/>
          <w:sz w:val="26"/>
          <w:szCs w:val="26"/>
        </w:rPr>
        <w:t xml:space="preserve">7.4  Limitations</w:t>
      </w:r>
    </w:p>
    <w:p>
      <w:pPr>
        <w:spacing w:after="120" w:line="336"/>
      </w:pPr>
      <w:r>
        <w:rPr>
          <w:rFonts w:ascii="Helvetica" w:cs="Helvetica" w:eastAsia="Helvetica" w:hAnsi="Helvetica"/>
          <w:color w:val="1F2937"/>
          <w:sz w:val="22"/>
          <w:szCs w:val="22"/>
        </w:rPr>
        <w:t xml:space="preserve">The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Study 2 used one dataset, two report templates, one language, eight reports per condition, and a single judge to grade each report; a larger version should add more datasets and templates and a multi-judge grader.</w:t>
      </w:r>
    </w:p>
    <w:p>
      <w:pPr>
        <w:pStyle w:val="Heading2"/>
      </w:pPr>
      <w:r>
        <w:rPr>
          <w:rFonts w:ascii="Helvetica" w:cs="Helvetica" w:eastAsia="Helvetica" w:hAnsi="Helvetica"/>
          <w:b/>
          <w:bCs/>
          <w:color w:val="111827"/>
          <w:sz w:val="26"/>
          <w:szCs w:val="26"/>
        </w:rPr>
        <w:t xml:space="preserve">7.5  A larger study and building the repository</w:t>
      </w:r>
    </w:p>
    <w:p>
      <w:pPr>
        <w:spacing w:after="120" w:line="336"/>
      </w:pPr>
      <w:r>
        <w:rPr>
          <w:rFonts w:ascii="Helvetica" w:cs="Helvetica" w:eastAsia="Helvetica" w:hAnsi="Helvetica"/>
          <w:color w:val="1F2937"/>
          <w:sz w:val="22"/>
          <w:szCs w:val="22"/>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All materials here can be reused for this.</w:t>
      </w:r>
    </w:p>
    <w:p>
      <w:pPr>
        <w:pStyle w:val="Heading1"/>
      </w:pPr>
      <w:r>
        <w:rPr>
          <w:rFonts w:ascii="Helvetica" w:cs="Helvetica" w:eastAsia="Helvetica" w:hAnsi="Helvetica"/>
          <w:b/>
          <w:bCs/>
          <w:color w:val="111827"/>
          <w:sz w:val="34"/>
          <w:szCs w:val="34"/>
        </w:rPr>
        <w:t xml:space="preserve">8  Conclusions</w:t>
      </w:r>
    </w:p>
    <w:p>
      <w:pPr>
        <w:spacing w:after="120" w:line="336"/>
      </w:pPr>
      <w:r>
        <w:rPr>
          <w:rFonts w:ascii="Helvetica" w:cs="Helvetica" w:eastAsia="Helvetica" w:hAnsi="Helvetica"/>
          <w:color w:val="1F2937"/>
          <w:sz w:val="22"/>
          <w:szCs w:val="22"/>
        </w:rPr>
        <w:t xml:space="preserve">Software packages, shared through curated repositories, made analysis reusable and easier to reproduce, and AI skills are becoming a reusable unit of the same kind for large language models and their tools. In two controlled experiments we found that a skill improves an output by removing free choices, not by adding words, and that the deciding part depends on the task, namely the random settings where a task involves randomness and the input and method contract where a convention is unclear. Reproducibility and validity are separate, so a skill can make an analysis consistent without making it correct, and both must be checked; the same held for a whole report. From these results we set out what a good skill must contain, three checks it should pass (self-consistency, a reference, and coherence with its stated methods), and the design of a curated repository for Model Context Protocol servers and skills. Treating skills as versioned, tested, and reviewed packages, as CRAN and Bioconductor did for code, would give ecology a dependable and citable body of analysis skills, and the open experimental design here is a way to test each one before it is shared. Building and launching this repository, with automated validation on submission and a citable DOI for each skill version, is work we are now beginning.</w:t>
      </w:r>
    </w:p>
    <w:p>
      <w:pPr>
        <w:pBdr>
          <w:bottom w:val="single" w:color="E5E7EB" w:sz="4" w:space="1"/>
        </w:pBdr>
        <w:spacing w:after="160" w:before="160"/>
      </w:pPr>
    </w:p>
    <w:p>
      <w:pPr>
        <w:pStyle w:val="Heading2"/>
      </w:pPr>
      <w:r>
        <w:rPr>
          <w:rFonts w:ascii="Helvetica" w:cs="Helvetica" w:eastAsia="Helvetica" w:hAnsi="Helvetica"/>
          <w:b/>
          <w:bCs/>
          <w:color w:val="111827"/>
          <w:sz w:val="26"/>
          <w:szCs w:val="26"/>
        </w:rPr>
        <w:t xml:space="preserve">Author contributions</w:t>
      </w:r>
    </w:p>
    <w:p>
      <w:pPr>
        <w:spacing w:after="120" w:line="336"/>
      </w:pPr>
      <w:r>
        <w:rPr>
          <w:rFonts w:ascii="Helvetica" w:cs="Helvetica" w:eastAsia="Helvetica" w:hAnsi="Helvetica"/>
          <w:color w:val="1F2937"/>
          <w:sz w:val="20"/>
          <w:szCs w:val="20"/>
        </w:rPr>
        <w:t xml:space="preserve">[To be completed.]</w:t>
      </w:r>
    </w:p>
    <w:p>
      <w:pPr>
        <w:pStyle w:val="Heading2"/>
      </w:pPr>
      <w:r>
        <w:rPr>
          <w:rFonts w:ascii="Helvetica" w:cs="Helvetica" w:eastAsia="Helvetica" w:hAnsi="Helvetica"/>
          <w:b/>
          <w:bCs/>
          <w:color w:val="111827"/>
          <w:sz w:val="26"/>
          <w:szCs w:val="26"/>
        </w:rPr>
        <w:t xml:space="preserve">Data availability and reproducibility</w:t>
      </w:r>
    </w:p>
    <w:p>
      <w:pPr>
        <w:spacing w:after="120" w:line="336"/>
      </w:pPr>
      <w:r>
        <w:rPr>
          <w:rFonts w:ascii="Helvetica" w:cs="Helvetica" w:eastAsia="Helvetica" w:hAnsi="Helvetica"/>
          <w:color w:val="1F2937"/>
          <w:sz w:val="21"/>
          <w:szCs w:val="21"/>
        </w:rPr>
        <w:t xml:space="preserve">All code and materials are publicly available in a Git repository at https://github.com/Fabbiologia/ai-skills-reproducibility-ecology, and will be archived on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report-level study (Study 2) adds its own prompts, the generation and judge workflows, the report outputs with judge grades, and its analysis scripts, in the report_reproducibility folder of the repository. The list of studies read for the background, and the search terms, are given in S1 to S4.</w:t>
      </w:r>
    </w:p>
    <w:p>
      <w:pPr>
        <w:pStyle w:val="Heading2"/>
      </w:pPr>
      <w:r>
        <w:rPr>
          <w:rFonts w:ascii="Helvetica" w:cs="Helvetica" w:eastAsia="Helvetica" w:hAnsi="Helvetica"/>
          <w:b/>
          <w:bCs/>
          <w:color w:val="111827"/>
          <w:sz w:val="26"/>
          <w:szCs w:val="26"/>
        </w:rPr>
        <w:t xml:space="preserve">Conflicts of interest</w:t>
      </w:r>
    </w:p>
    <w:p>
      <w:pPr>
        <w:spacing w:after="120" w:line="336"/>
      </w:pPr>
      <w:r>
        <w:rPr>
          <w:rFonts w:ascii="Helvetica" w:cs="Helvetica" w:eastAsia="Helvetica" w:hAnsi="Helvetica"/>
          <w:color w:val="1F2937"/>
          <w:sz w:val="20"/>
          <w:szCs w:val="20"/>
        </w:rPr>
        <w:t xml:space="preserve">None declared.</w:t>
      </w:r>
    </w:p>
    <w:p>
      <w:pPr>
        <w:pStyle w:val="Heading2"/>
      </w:pPr>
      <w:r>
        <w:rPr>
          <w:rFonts w:ascii="Helvetica" w:cs="Helvetica" w:eastAsia="Helvetica" w:hAnsi="Helvetica"/>
          <w:b/>
          <w:bCs/>
          <w:color w:val="111827"/>
          <w:sz w:val="26"/>
          <w:szCs w:val="26"/>
        </w:rPr>
        <w:t xml:space="preserve">Funding</w:t>
      </w:r>
    </w:p>
    <w:p>
      <w:pPr>
        <w:spacing w:after="120" w:line="336"/>
      </w:pPr>
      <w:r>
        <w:rPr>
          <w:rFonts w:ascii="Helvetica" w:cs="Helvetica" w:eastAsia="Helvetica" w:hAnsi="Helvetica"/>
          <w:color w:val="1F2937"/>
          <w:sz w:val="20"/>
          <w:szCs w:val="20"/>
        </w:rPr>
        <w:t xml:space="preserve">[To be completed.]</w:t>
      </w:r>
    </w:p>
    <w:p>
      <w:pPr>
        <w:pStyle w:val="Heading1"/>
      </w:pPr>
      <w:r>
        <w:rPr>
          <w:rFonts w:ascii="Helvetica" w:cs="Helvetica" w:eastAsia="Helvetica" w:hAnsi="Helvetica"/>
          <w:b/>
          <w:bCs/>
          <w:color w:val="111827"/>
          <w:sz w:val="34"/>
          <w:szCs w:val="34"/>
        </w:rPr>
        <w:t xml:space="preserve">References</w:t>
      </w:r>
    </w:p>
    <w:p>
      <w:pPr>
        <w:spacing w:after="100" w:line="300"/>
        <w:ind w:left="360" w:hanging="360"/>
      </w:pPr>
      <w:r>
        <w:rPr>
          <w:rFonts w:ascii="Helvetica" w:cs="Helvetica" w:eastAsia="Helvetica" w:hAnsi="Helvetica"/>
          <w:color w:val="1F2937"/>
          <w:sz w:val="20"/>
          <w:szCs w:val="20"/>
        </w:rPr>
        <w:t xml:space="preserve">Baker, M. (2016). 1,500 scientists lift the lid on reproducibility. Nature, 533, 452–454.</w:t>
      </w:r>
    </w:p>
    <w:p>
      <w:pPr>
        <w:spacing w:after="100" w:line="300"/>
        <w:ind w:left="360" w:hanging="360"/>
      </w:pPr>
      <w:r>
        <w:rPr>
          <w:rFonts w:ascii="Helvetica" w:cs="Helvetica" w:eastAsia="Helvetica" w:hAnsi="Helvetica"/>
          <w:color w:val="1F2937"/>
          <w:sz w:val="20"/>
          <w:szCs w:val="20"/>
        </w:rPr>
        <w:t xml:space="preserve">Barker, M., Chue Hong, N. P., Katz, D. S., et al. (2022). Introducing the FAIR Principles for research software. Scientific Data, 9, 622.</w:t>
      </w:r>
    </w:p>
    <w:p>
      <w:pPr>
        <w:spacing w:after="100" w:line="300"/>
        <w:ind w:left="360" w:hanging="360"/>
      </w:pPr>
      <w:r>
        <w:rPr>
          <w:rFonts w:ascii="Helvetica" w:cs="Helvetica" w:eastAsia="Helvetica" w:hAnsi="Helvetica"/>
          <w:color w:val="1F2937"/>
          <w:sz w:val="20"/>
          <w:szCs w:val="20"/>
        </w:rPr>
        <w:t xml:space="preserve">Culina, A., van den Berg, I., Evans, S., &amp; Sánchez-Tójar, A. (2020). Low availability of code in ecology: a call for urgent action. PLOS Biology, 18(7), e3000763.</w:t>
      </w:r>
    </w:p>
    <w:p>
      <w:pPr>
        <w:spacing w:after="100" w:line="300"/>
        <w:ind w:left="360" w:hanging="360"/>
      </w:pPr>
      <w:r>
        <w:rPr>
          <w:rFonts w:ascii="Helvetica" w:cs="Helvetica" w:eastAsia="Helvetica" w:hAnsi="Helvetica"/>
          <w:color w:val="1F2937"/>
          <w:sz w:val="20"/>
          <w:szCs w:val="20"/>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Helvetica" w:cs="Helvetica" w:eastAsia="Helvetica" w:hAnsi="Helvetica"/>
          <w:color w:val="1F2937"/>
          <w:sz w:val="20"/>
          <w:szCs w:val="20"/>
        </w:rPr>
        <w:t xml:space="preserve">Goodman, S. N., Fanelli, D., &amp; Ioannidis, J. P. A. (2016). What does research reproducibility mean? Science Translational Medicine, 8(341), 341ps12.</w:t>
      </w:r>
    </w:p>
    <w:p>
      <w:pPr>
        <w:spacing w:after="100" w:line="300"/>
        <w:ind w:left="360" w:hanging="360"/>
      </w:pPr>
      <w:r>
        <w:rPr>
          <w:rFonts w:ascii="Helvetica" w:cs="Helvetica" w:eastAsia="Helvetica" w:hAnsi="Helvetica"/>
          <w:color w:val="1F2937"/>
          <w:sz w:val="20"/>
          <w:szCs w:val="20"/>
        </w:rPr>
        <w:t xml:space="preserve">Gundersen, O. E. (2021). The fundamental principles of reproducibility. Philosophical Transactions of the Royal Society A, 379, 20200210.</w:t>
      </w:r>
    </w:p>
    <w:p>
      <w:pPr>
        <w:spacing w:after="100" w:line="300"/>
        <w:ind w:left="360" w:hanging="360"/>
      </w:pPr>
      <w:r>
        <w:rPr>
          <w:rFonts w:ascii="Helvetica" w:cs="Helvetica" w:eastAsia="Helvetica" w:hAnsi="Helvetica"/>
          <w:color w:val="1F2937"/>
          <w:sz w:val="20"/>
          <w:szCs w:val="20"/>
        </w:rPr>
        <w:t xml:space="preserve">Harris, C. R., Millman, K. J., van der Walt, S. J., et al. (2020). Array programming with NumPy. Nature, 585, 357–362.</w:t>
      </w:r>
    </w:p>
    <w:p>
      <w:pPr>
        <w:spacing w:after="100" w:line="300"/>
        <w:ind w:left="360" w:hanging="360"/>
      </w:pPr>
      <w:r>
        <w:rPr>
          <w:rFonts w:ascii="Helvetica" w:cs="Helvetica" w:eastAsia="Helvetica" w:hAnsi="Helvetica"/>
          <w:color w:val="1F2937"/>
          <w:sz w:val="20"/>
          <w:szCs w:val="20"/>
        </w:rPr>
        <w:t xml:space="preserve">He, J., Rungta, M., Koleczek, D., Sekhon, A., Wang, F. X., &amp; Hasan, S. (2024). Does prompt formatting have any impact on LLM performance? arXiv:2411.10541.</w:t>
      </w:r>
    </w:p>
    <w:p>
      <w:pPr>
        <w:spacing w:after="100" w:line="300"/>
        <w:ind w:left="360" w:hanging="360"/>
      </w:pPr>
      <w:r>
        <w:rPr>
          <w:rFonts w:ascii="Helvetica" w:cs="Helvetica" w:eastAsia="Helvetica" w:hAnsi="Helvetica"/>
          <w:color w:val="1F2937"/>
          <w:sz w:val="20"/>
          <w:szCs w:val="20"/>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Helvetica" w:cs="Helvetica" w:eastAsia="Helvetica" w:hAnsi="Helvetica"/>
          <w:color w:val="1F2937"/>
          <w:sz w:val="20"/>
          <w:szCs w:val="20"/>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Helvetica" w:cs="Helvetica" w:eastAsia="Helvetica" w:hAnsi="Helvetica"/>
          <w:color w:val="1F2937"/>
          <w:sz w:val="20"/>
          <w:szCs w:val="20"/>
        </w:rPr>
        <w:t xml:space="preserve">Kellner, K. F., et al. (2025). Functional R code is rare in species distribution and abundance papers. Ecology, e4475.</w:t>
      </w:r>
    </w:p>
    <w:p>
      <w:pPr>
        <w:spacing w:after="100" w:line="300"/>
        <w:ind w:left="360" w:hanging="360"/>
      </w:pPr>
      <w:r>
        <w:rPr>
          <w:rFonts w:ascii="Helvetica" w:cs="Helvetica" w:eastAsia="Helvetica" w:hAnsi="Helvetica"/>
          <w:color w:val="1F2937"/>
          <w:sz w:val="20"/>
          <w:szCs w:val="20"/>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Helvetica" w:cs="Helvetica" w:eastAsia="Helvetica" w:hAnsi="Helvetica"/>
          <w:color w:val="1F2937"/>
          <w:sz w:val="20"/>
          <w:szCs w:val="20"/>
        </w:rPr>
        <w:t xml:space="preserve">Pedregosa, F., Varoquaux, G., Gramfort, A., et al. (2011). Scikit-learn: Machine learning in Python. Journal of Machine Learning Research, 12, 2825–2830.</w:t>
      </w:r>
    </w:p>
    <w:p>
      <w:pPr>
        <w:spacing w:after="100" w:line="300"/>
        <w:ind w:left="360" w:hanging="360"/>
      </w:pPr>
      <w:r>
        <w:rPr>
          <w:rFonts w:ascii="Helvetica" w:cs="Helvetica" w:eastAsia="Helvetica" w:hAnsi="Helvetica"/>
          <w:color w:val="1F2937"/>
          <w:sz w:val="20"/>
          <w:szCs w:val="20"/>
        </w:rPr>
        <w:t xml:space="preserve">Pimentel, J. F., Murta, L., Braganholo, V., &amp; Freire, J. (2019). A large-scale study about quality and reproducibility of Jupyter notebooks. MSR 2019.</w:t>
      </w:r>
    </w:p>
    <w:p>
      <w:pPr>
        <w:spacing w:after="100" w:line="300"/>
        <w:ind w:left="360" w:hanging="360"/>
      </w:pPr>
      <w:r>
        <w:rPr>
          <w:rFonts w:ascii="Helvetica" w:cs="Helvetica" w:eastAsia="Helvetica" w:hAnsi="Helvetica"/>
          <w:color w:val="1F2937"/>
          <w:sz w:val="20"/>
          <w:szCs w:val="20"/>
        </w:rPr>
        <w:t xml:space="preserve">R Core Team (2026). R: A language and environment for statistical computing. R Foundation for Statistical Computing, Vienna, Austria. Version 4.6.0.</w:t>
      </w:r>
    </w:p>
    <w:p>
      <w:pPr>
        <w:spacing w:after="100" w:line="300"/>
        <w:ind w:left="360" w:hanging="360"/>
      </w:pPr>
      <w:r>
        <w:rPr>
          <w:rFonts w:ascii="Helvetica" w:cs="Helvetica" w:eastAsia="Helvetica" w:hAnsi="Helvetica"/>
          <w:color w:val="1F2937"/>
          <w:sz w:val="20"/>
          <w:szCs w:val="20"/>
        </w:rPr>
        <w:t xml:space="preserve">Trisovic, A., Lau, M. K., Pasquier, T., &amp; Crosas, M. (2022). A large-scale study on research code quality and execution. Scientific Data, 9, 60.</w:t>
      </w:r>
    </w:p>
    <w:p>
      <w:pPr>
        <w:spacing w:after="100" w:line="300"/>
        <w:ind w:left="360" w:hanging="360"/>
      </w:pPr>
      <w:r>
        <w:rPr>
          <w:rFonts w:ascii="Helvetica" w:cs="Helvetica" w:eastAsia="Helvetica" w:hAnsi="Helvetica"/>
          <w:color w:val="1F2937"/>
          <w:sz w:val="20"/>
          <w:szCs w:val="20"/>
        </w:rPr>
        <w:t xml:space="preserve">Virtanen, P., Gommers, R., Oliphant, T. E., et al. (2020). SciPy 1.0: fundamental algorithms for scientific computing in Python. Nature Methods, 17, 261–272.</w:t>
      </w:r>
    </w:p>
    <w:p>
      <w:pPr>
        <w:spacing w:after="100" w:line="300"/>
        <w:ind w:left="360" w:hanging="360"/>
      </w:pPr>
      <w:r>
        <w:rPr>
          <w:rFonts w:ascii="Helvetica" w:cs="Helvetica" w:eastAsia="Helvetica" w:hAnsi="Helvetica"/>
          <w:color w:val="1F2937"/>
          <w:sz w:val="20"/>
          <w:szCs w:val="20"/>
        </w:rPr>
        <w:t xml:space="preserve">Wang, X., Wei, J., Schuurmans, D., et al. (2023). Self-consistency improves chain-of-thought reasoning in language models. ICLR 2023. arXiv:2203.11171.</w:t>
      </w:r>
    </w:p>
    <w:p>
      <w:pPr>
        <w:spacing w:after="100" w:line="300"/>
        <w:ind w:left="360" w:hanging="360"/>
      </w:pPr>
      <w:r>
        <w:rPr>
          <w:rFonts w:ascii="Helvetica" w:cs="Helvetica" w:eastAsia="Helvetica" w:hAnsi="Helvetica"/>
          <w:color w:val="1F2937"/>
          <w:sz w:val="20"/>
          <w:szCs w:val="20"/>
        </w:rPr>
        <w:t xml:space="preserve">Wilkinson, M. D., Dumontier, M., Aalbersberg, Ij. J., et al. (2016). The FAIR Guiding Principles for scientific data management and stewardship. Scientific Data, 3, 160018.</w:t>
      </w:r>
    </w:p>
    <w:p>
      <w:pPr>
        <w:spacing w:after="100" w:line="300"/>
        <w:ind w:left="360" w:hanging="360"/>
      </w:pPr>
      <w:r>
        <w:rPr>
          <w:rFonts w:ascii="Helvetica" w:cs="Helvetica" w:eastAsia="Helvetica" w:hAnsi="Helvetica"/>
          <w:color w:val="1F2937"/>
          <w:sz w:val="20"/>
          <w:szCs w:val="20"/>
        </w:rPr>
        <w:t xml:space="preserve">Zurell, D., Franklin, J., König, C., et al. (2020). A standard protocol for reporting species distribution models (ODMAP). Ecography, 43(9), 1261–1277.</w:t>
      </w:r>
    </w:p>
    <w:p>
      <w:pPr>
        <w:spacing w:after="100" w:line="300"/>
        <w:ind w:left="360" w:hanging="360"/>
      </w:pPr>
      <w:r>
        <w:rPr>
          <w:rFonts w:ascii="Helvetica" w:cs="Helvetica" w:eastAsia="Helvetica" w:hAnsi="Helvetica"/>
          <w:color w:val="1F2937"/>
          <w:sz w:val="20"/>
          <w:szCs w:val="20"/>
        </w:rPr>
        <w:t xml:space="preserve">How consistent are LLM agents? Measuring behavioral reproducibility in multi-step tool-calling pipelines (2026, preprint). arXiv:2605.28840.</w:t>
      </w:r>
    </w:p>
    <w:p>
      <w:pPr>
        <w:spacing w:after="100" w:line="300"/>
        <w:ind w:left="360" w:hanging="360"/>
      </w:pPr>
      <w:r>
        <w:rPr>
          <w:rFonts w:ascii="Helvetica" w:cs="Helvetica" w:eastAsia="Helvetica" w:hAnsi="Helvetica"/>
          <w:color w:val="1F2937"/>
          <w:sz w:val="20"/>
          <w:szCs w:val="20"/>
        </w:rPr>
        <w:t xml:space="preserve">Large language models possess some ecological knowledge, but how much? (2026). Journal for Nature Conservation.</w:t>
      </w:r>
    </w:p>
    <w:p>
      <w:pPr>
        <w:spacing w:after="100" w:line="300"/>
        <w:ind w:left="360" w:hanging="360"/>
      </w:pPr>
      <w:r>
        <w:rPr>
          <w:rFonts w:ascii="Helvetica" w:cs="Helvetica" w:eastAsia="Helvetica" w:hAnsi="Helvetica"/>
          <w:color w:val="1F2937"/>
          <w:sz w:val="20"/>
          <w:szCs w:val="20"/>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AI skills and output reproducibility of ecological analyses</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28920d049532a6b54b13bd2200a99fa56a457c02.png"/><Relationship Id="rId10" Type="http://schemas.openxmlformats.org/officeDocument/2006/relationships/image" Target="media/81481fa3cb77c91191775d7bc8896e15cbf1c4bf.png"/><Relationship Id="rId11" Type="http://schemas.openxmlformats.org/officeDocument/2006/relationships/image" Target="media/d9648fda80c6d9a3a3b72cbcc877b3be87deedc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2026-07-07T08:31:45.474Z</dcterms:created>
  <dcterms:modified xsi:type="dcterms:W3CDTF">2026-07-07T08:31:45.475Z</dcterms:modified>
</cp:coreProperties>
</file>

<file path=docProps/custom.xml><?xml version="1.0" encoding="utf-8"?>
<Properties xmlns="http://schemas.openxmlformats.org/officeDocument/2006/custom-properties" xmlns:vt="http://schemas.openxmlformats.org/officeDocument/2006/docPropsVTypes"/>
</file>