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Supporting Information</w:t>
      </w:r>
    </w:p>
    <w:p>
      <w:pPr>
        <w:spacing w:after="40" w:line="336"/>
      </w:pPr>
      <w:r>
        <w:rPr>
          <w:rFonts w:ascii="Times New Roman" w:cs="Times New Roman" w:eastAsia="Times New Roman" w:hAnsi="Times New Roman"/>
          <w:b/>
          <w:bCs/>
          <w:color w:val="1F2937"/>
          <w:sz w:val="24"/>
          <w:szCs w:val="24"/>
        </w:rPr>
        <w:t xml:space="preserve">Skills as the new packages: an evidence-based standard for good AI analysis skills and a curated repository for ecology</w:t>
      </w:r>
    </w:p>
    <w:p>
      <w:pPr>
        <w:spacing w:after="120" w:line="336"/>
      </w:pPr>
      <w:r>
        <w:rPr>
          <w:rFonts w:ascii="Times New Roman" w:cs="Times New Roman" w:eastAsia="Times New Roman" w:hAnsi="Times New Roman"/>
          <w:color w:val="1F2937"/>
          <w:sz w:val="20"/>
          <w:szCs w:val="20"/>
        </w:rPr>
        <w:t xml:space="preserve">Favoretto, Rivera, and León Solorzano. Target journal: Methods in Ecology and Evolution.</w:t>
      </w:r>
    </w:p>
    <w:p>
      <w:pPr>
        <w:spacing w:after="120" w:line="336"/>
      </w:pPr>
      <w:r>
        <w:rPr>
          <w:rFonts w:ascii="Times New Roman" w:cs="Times New Roman" w:eastAsia="Times New Roman" w:hAnsi="Times New Roman"/>
          <w:color w:val="1F2937"/>
          <w:sz w:val="20"/>
          <w:szCs w:val="20"/>
        </w:rPr>
        <w:t xml:space="preserve">Contents: S1 How we reviewed the literature · S2 Search terms · S3 What we recorded for each study · S4 Studies we read (with the selection summary) · S5 Experiment prompts (full text) · S6 Full results and statistics · S7 Additional figures · S8 Software environment, code, and data availability · S9 Experiment 2 report materials and results.</w:t>
      </w:r>
    </w:p>
    <w:p>
      <w:pPr>
        <w:pBdr>
          <w:bottom w:val="single" w:color="0F766E" w:sz="6" w:space="1"/>
        </w:pBdr>
        <w:spacing w:after="160" w:before="160"/>
      </w:pPr>
    </w:p>
    <w:p>
      <w:pPr>
        <w:pStyle w:val="Heading1"/>
      </w:pPr>
      <w:r>
        <w:rPr>
          <w:rFonts w:ascii="Times New Roman" w:cs="Times New Roman" w:eastAsia="Times New Roman" w:hAnsi="Times New Roman"/>
          <w:b/>
          <w:bCs/>
          <w:color w:val="111827"/>
          <w:sz w:val="24"/>
          <w:szCs w:val="24"/>
        </w:rPr>
        <w:t xml:space="preserve">S1  How we reviewed the literature</w:t>
      </w:r>
    </w:p>
    <w:p>
      <w:pPr>
        <w:spacing w:after="120" w:line="336"/>
      </w:pPr>
      <w:r>
        <w:rPr>
          <w:rFonts w:ascii="Times New Roman" w:cs="Times New Roman" w:eastAsia="Times New Roman" w:hAnsi="Times New Roman"/>
          <w:color w:val="1F2937"/>
          <w:sz w:val="24"/>
          <w:szCs w:val="24"/>
        </w:rPr>
        <w:t xml:space="preserve">The literature review sets the context for the experiment and is not a formal systematic review. We searched for evidence on AI skills and the output reproducibility of ecological and computational analyses in July 2026, using Google Scholar, general web search, and targeted searching of journals and preprint servers. Screening was done by one reviewer. We read 19 studies closely and recorded a short set of items from each one (S3). A larger, pre-registered search with two independent reviewers could be run later to give a complete count, but it was not needed for the aims here. The studies are listed in S4, and the search terms are in S2.</w:t>
      </w:r>
    </w:p>
    <w:p>
      <w:r>
        <w:br w:type="page"/>
      </w:r>
    </w:p>
    <w:p>
      <w:pPr>
        <w:pStyle w:val="Heading1"/>
      </w:pPr>
      <w:r>
        <w:rPr>
          <w:rFonts w:ascii="Times New Roman" w:cs="Times New Roman" w:eastAsia="Times New Roman" w:hAnsi="Times New Roman"/>
          <w:b/>
          <w:bCs/>
          <w:color w:val="111827"/>
          <w:sz w:val="24"/>
          <w:szCs w:val="24"/>
        </w:rPr>
        <w:t xml:space="preserve">S2  Search terms</w:t>
      </w:r>
    </w:p>
    <w:p>
      <w:pPr>
        <w:spacing w:after="120" w:line="336"/>
      </w:pPr>
      <w:r>
        <w:rPr>
          <w:rFonts w:ascii="Times New Roman" w:cs="Times New Roman" w:eastAsia="Times New Roman" w:hAnsi="Times New Roman"/>
          <w:color w:val="1F2937"/>
          <w:sz w:val="24"/>
          <w:szCs w:val="24"/>
        </w:rPr>
        <w:t xml:space="preserve">The main search terms are below. They can be adapted for each database. We searched from 2015 to present, in English. For transferable (non-ecological) evidence on LLMs and agents, we dropped the ecology terms and checked each result for relevance.</w:t>
      </w:r>
    </w:p>
    <w:p>
      <w:pPr>
        <w:pStyle w:val="Heading3"/>
      </w:pPr>
      <w:r>
        <w:rPr>
          <w:rFonts w:ascii="Times New Roman" w:cs="Times New Roman" w:eastAsia="Times New Roman" w:hAnsi="Times New Roman"/>
          <w:b/>
          <w:bCs/>
          <w:color w:val="111827"/>
          <w:sz w:val="24"/>
          <w:szCs w:val="24"/>
        </w:rPr>
        <w:t xml:space="preserve">Main terms</w:t>
      </w:r>
    </w:p>
    <w:p>
      <w:pPr>
        <w:shd w:fill="F7F7F8" w:val="clear"/>
        <w:spacing w:after="0" w:line="235"/>
      </w:pPr>
      <w:r>
        <w:rPr>
          <w:rFonts w:ascii="Courier New" w:cs="Courier New" w:eastAsia="Courier New" w:hAnsi="Courier New"/>
          <w:color w:val="1F2937"/>
          <w:sz w:val="15"/>
          <w:szCs w:val="15"/>
        </w:rPr>
        <w:t xml:space="preserve">("large language model*" OR LLM OR "AI agent*" OR "agent skill*" OR "prompt engineering"</w:t>
      </w:r>
    </w:p>
    <w:p>
      <w:pPr>
        <w:shd w:fill="F7F7F8" w:val="clear"/>
        <w:spacing w:after="0" w:line="235"/>
      </w:pPr>
      <w:r>
        <w:rPr>
          <w:rFonts w:ascii="Courier New" w:cs="Courier New" w:eastAsia="Courier New" w:hAnsi="Courier New"/>
          <w:color w:val="1F2937"/>
          <w:sz w:val="15"/>
          <w:szCs w:val="15"/>
        </w:rPr>
        <w:t xml:space="preserve"> OR "workflow" OR "reporting standard*" OR "reporting guideline*")</w:t>
      </w:r>
    </w:p>
    <w:p>
      <w:pPr>
        <w:shd w:fill="F7F7F8" w:val="clear"/>
        <w:spacing w:after="0" w:line="235"/>
      </w:pPr>
      <w:r>
        <w:rPr>
          <w:rFonts w:ascii="Courier New" w:cs="Courier New" w:eastAsia="Courier New" w:hAnsi="Courier New"/>
          <w:color w:val="1F2937"/>
          <w:sz w:val="15"/>
          <w:szCs w:val="15"/>
        </w:rPr>
        <w:t xml:space="preserve">AND (reproducib* OR replicab* OR "consistency" OR "re-execution" OR "repeatab*")</w:t>
      </w:r>
    </w:p>
    <w:p>
      <w:pPr>
        <w:shd w:fill="F7F7F8" w:val="clear"/>
        <w:spacing w:after="0" w:line="235"/>
      </w:pPr>
      <w:r>
        <w:rPr>
          <w:rFonts w:ascii="Courier New" w:cs="Courier New" w:eastAsia="Courier New" w:hAnsi="Courier New"/>
          <w:color w:val="1F2937"/>
          <w:sz w:val="15"/>
          <w:szCs w:val="15"/>
        </w:rPr>
        <w:t xml:space="preserve">AND (ecolog* OR environment* OR conservation OR biodiversity OR "species distribution"</w:t>
      </w:r>
    </w:p>
    <w:p>
      <w:pPr>
        <w:shd w:fill="F7F7F8" w:val="clear"/>
        <w:spacing w:after="0" w:line="235"/>
      </w:pPr>
      <w:r>
        <w:rPr>
          <w:rFonts w:ascii="Courier New" w:cs="Courier New" w:eastAsia="Courier New" w:hAnsi="Courier New"/>
          <w:color w:val="1F2937"/>
          <w:sz w:val="15"/>
          <w:szCs w:val="15"/>
        </w:rPr>
        <w:t xml:space="preserve"> OR "remote sensing")</w:t>
      </w:r>
    </w:p>
    <w:p>
      <w:pPr>
        <w:pStyle w:val="Heading1"/>
      </w:pPr>
      <w:r>
        <w:rPr>
          <w:rFonts w:ascii="Times New Roman" w:cs="Times New Roman" w:eastAsia="Times New Roman" w:hAnsi="Times New Roman"/>
          <w:b/>
          <w:bCs/>
          <w:color w:val="111827"/>
          <w:sz w:val="24"/>
          <w:szCs w:val="24"/>
        </w:rPr>
        <w:t xml:space="preserve">S3  What we recorded for each study</w:t>
      </w:r>
    </w:p>
    <w:p>
      <w:pPr>
        <w:spacing w:after="120" w:line="336"/>
      </w:pPr>
      <w:r>
        <w:rPr>
          <w:rFonts w:ascii="Times New Roman" w:cs="Times New Roman" w:eastAsia="Times New Roman" w:hAnsi="Times New Roman"/>
          <w:color w:val="1F2937"/>
          <w:sz w:val="24"/>
          <w:szCs w:val="24"/>
        </w:rPr>
        <w:t xml:space="preserve">For each study we recorded the citation, the venue, the year, the domain (ecological or general), the study design, the skill-like feature it tested (for example a step sequence, an input and output contract, worked examples, a validation check list, a tool-use contract, an environment specification, or a reporting protocol), the comparison, the reproducibility or consistency outcome and how it was measured, the reported result, and whether the evidence was direct or indirect for our question.</w:t>
      </w:r>
    </w:p>
    <w:p>
      <w:r>
        <w:br w:type="page"/>
      </w:r>
    </w:p>
    <w:p>
      <w:pPr>
        <w:pStyle w:val="Heading1"/>
      </w:pPr>
      <w:r>
        <w:rPr>
          <w:rFonts w:ascii="Times New Roman" w:cs="Times New Roman" w:eastAsia="Times New Roman" w:hAnsi="Times New Roman"/>
          <w:b/>
          <w:bCs/>
          <w:color w:val="111827"/>
          <w:sz w:val="24"/>
          <w:szCs w:val="24"/>
        </w:rPr>
        <w:t xml:space="preserve">S4  Studies we read</w:t>
      </w:r>
    </w:p>
    <w:p>
      <w:pPr>
        <w:spacing w:after="80" w:before="120"/>
        <w:jc w:val="center"/>
      </w:pPr>
      <w:r>
        <w:drawing>
          <wp:inline distT="0" distB="0" distL="0" distR="0">
            <wp:extent cx="4476750" cy="3810000"/>
            <wp:effectExtent t="0" r="0" b="0" l="0"/>
            <wp:docPr id="1" name="Study selection" descr="Study selection" title="Stud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S1. Summary of how studies were found and selected in the July 2026 background search. Counts are from an informal search by one reviewer.</w:t>
      </w:r>
    </w:p>
    <w:p>
      <w:pPr>
        <w:pStyle w:val="Heading2"/>
      </w:pPr>
      <w:r>
        <w:rPr>
          <w:rFonts w:ascii="Times New Roman" w:cs="Times New Roman" w:eastAsia="Times New Roman" w:hAnsi="Times New Roman"/>
          <w:b/>
          <w:bCs/>
          <w:color w:val="111827"/>
          <w:sz w:val="24"/>
          <w:szCs w:val="24"/>
        </w:rPr>
        <w:t xml:space="preserve">Table S4. Studies we read (n = 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200"/>
        <w:gridCol w:w="1900"/>
        <w:gridCol w:w="2910"/>
        <w:gridCol w:w="700"/>
      </w:tblGrid>
      <w:tr>
        <w:trPr>
          <w:tblHeader/>
        </w:trPr>
        <w:tc>
          <w:tcPr>
            <w:tcW w:type="dxa" w:w="15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Study (year)</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Venue</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Domain</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Skill-like feature</w:t>
            </w:r>
          </w:p>
        </w:tc>
        <w:tc>
          <w:tcPr>
            <w:tcW w:type="dxa" w:w="291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Output-reproducibility finding</w:t>
            </w:r>
          </w:p>
        </w:tc>
        <w:tc>
          <w:tcPr>
            <w:tcW w:type="dxa" w:w="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Evidence</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Gallois et al. (2025)</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(birds)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Bespoke quantitative LLM querying data</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Accurate ecological interpretations; reliability task-dependent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 ecological knowledge benchmark (2026)</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J. Nat. Conserv.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(IUCN spp.)</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General LLM outputs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94.9% taxonomic vs 27.2% conservation-status accuracy</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How Consistent Are LLM Agents?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Repeated identical tool-calling runs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Behavioural reproducibility imperfect; tool/order/arg drift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LongDS-Bench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 analysis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Long-horizon agentic analysis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High failure/variance on multi-step tasks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DataSciBench (2025,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 science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 data-science agents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Success and consistency vary; structured eval needed</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ReliabilityBench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Reliability under input perturbation</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Output reliability degrades under variation</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ARA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Peer review</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Agentic reproducibility assessment</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Agents can assess reproducibility (feasibility)</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He et al. (2024)</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arXiv/NAACL</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Prompt template / formatting</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Up to 40% performance swing from format alone</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Wang et al. (2023)</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ICLR</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Self-consistency (multi-run vote)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Aggregating runs stabilises outputs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Nondeterminism in LLM inference (2025,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Batch-invariant kernels; precision</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Bit-identical over 1,000 runs at ~61.5% throughput cost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Beyond Reproducibility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Token-probability nondeterminism</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Nondeterminism affects text at temperature &gt; 0</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Culina et al. (2020)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PLOS Biology</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Code availability</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Code available for a minority; key reproduction barrier</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Kellner et al. (2025)</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(SDM/abund.)</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Functional code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Functional R code rare; re-execution often fails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Kambouris et al. (2024)</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PLOS ONE</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EcoEvo meta-analyses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Shared data + code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15% shared both; 27% to 73% of 26 reproduced by strictness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Cooper et al. (2025)</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(BES)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Data/code archiving</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Archiving improving; code sharing lags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O'Dea et al. (2021)</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Biological Reviews</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EcoEvo</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PRISMA-EcoEvo checklist</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Guideline use (~16%) linked to higher reporting quality</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Zurell et al. (2020)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Ecography</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(SDM)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ODMAP structured protocol</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Structured protocol supports documentation &amp; reproduction</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Trisovic et al. (2022)</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Scientific Data</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General (R code)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Environment standardisation</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Re-execution 26% to 44%; environment fix helped most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Pimentel et al. (2019)</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MSR</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General (notebooks)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Execution order / hidden state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24.1% run; only 4.0% reproduce results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bl>
    <w:p>
      <w:pPr>
        <w:spacing w:after="120"/>
      </w:pPr>
    </w:p>
    <w:p>
      <w:pPr>
        <w:pStyle w:val="Heading2"/>
      </w:pPr>
      <w:r>
        <w:rPr>
          <w:rFonts w:ascii="Times New Roman" w:cs="Times New Roman" w:eastAsia="Times New Roman" w:hAnsi="Times New Roman"/>
          <w:b/>
          <w:bCs/>
          <w:color w:val="111827"/>
          <w:sz w:val="24"/>
          <w:szCs w:val="24"/>
        </w:rPr>
        <w:t xml:space="preserve">Table S5. Skill parts ranked by their expected contribution to output reproducibility, from the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Skill characteristic</w:t>
            </w:r>
          </w:p>
        </w:tc>
        <w:tc>
          <w:tcPr>
            <w:tcW w:type="dxa" w:w="45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Mechanism for output reproducibility</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Evidence</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Input/output contract + explicit step sequence</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Fixes what is produced and in what order; removes ambiguity behind execution and notebook failures</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Strong (indirect + analogical)</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Tool-use contract</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Constrains how data and tools are called, cutting agent run-to-run drift</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Strong (LLM/agent evidence)</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Environment &amp; provenance specification</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Pins the runtime and records what produced each result</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Strong (Trisovic; workflows)</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Validation checklist + failure-mode warnings</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Forces completeness and catches known error patterns</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Moderate (reporting standards)</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Worked examples</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Guide the model like a novice learner, reducing variance in approach</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Moderate (learning sciences)</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Domain references / metadata</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Aid trust, reuse, and correctness more than bit-level reproducibility</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Moderate (FAIR)</w:t>
            </w:r>
          </w:p>
        </w:tc>
      </w:tr>
    </w:tbl>
    <w:p>
      <w:pPr>
        <w:spacing w:after="120" w:before="120" w:line="336"/>
      </w:pPr>
      <w:r>
        <w:rPr>
          <w:rFonts w:ascii="Times New Roman" w:cs="Times New Roman" w:eastAsia="Times New Roman" w:hAnsi="Times New Roman"/>
          <w:color w:val="1F2937"/>
          <w:sz w:val="19"/>
          <w:szCs w:val="19"/>
        </w:rPr>
        <w:t xml:space="preserve">Note. The experiment (main Section 4) refines this ranking. The parts that mattered most were the input and method contract and the random settings (seed, split, scaling). Length on its own gave no benefit, and the part that matters depends on the task.</w:t>
      </w:r>
    </w:p>
    <w:p>
      <w:r>
        <w:br w:type="page"/>
      </w:r>
    </w:p>
    <w:p>
      <w:pPr>
        <w:pStyle w:val="Heading1"/>
      </w:pPr>
      <w:r>
        <w:rPr>
          <w:rFonts w:ascii="Times New Roman" w:cs="Times New Roman" w:eastAsia="Times New Roman" w:hAnsi="Times New Roman"/>
          <w:b/>
          <w:bCs/>
          <w:color w:val="111827"/>
          <w:sz w:val="24"/>
          <w:szCs w:val="24"/>
        </w:rPr>
        <w:t xml:space="preserve">S5  Experiment prompts (full text)</w:t>
      </w:r>
    </w:p>
    <w:p>
      <w:pPr>
        <w:spacing w:after="120" w:line="336"/>
      </w:pPr>
      <w:r>
        <w:rPr>
          <w:rFonts w:ascii="Times New Roman" w:cs="Times New Roman" w:eastAsia="Times New Roman" w:hAnsi="Times New Roman"/>
          <w:color w:val="1F2937"/>
          <w:sz w:val="24"/>
          <w:szCs w:val="24"/>
        </w:rPr>
        <w:t xml:space="preserve">The 40 prompt files below are the variable we changed, 20 for Python and 20 for R. Within each task and language, the four skilled levels add structure step by step, so each level contains the one before it. Each file also sets a fixed output format, and agents ran the analysis and returned the value named at the foot of the file. The R files name R functions (cor, glm, aov, and dplyr) in place of the Python ones, but the task and the skill ladder are the same. The text is shown exactly as it was given to the agents.</w:t>
      </w:r>
    </w:p>
    <w:p>
      <w:pPr>
        <w:pStyle w:val="Heading2"/>
      </w:pPr>
      <w:r>
        <w:rPr>
          <w:rFonts w:ascii="Times New Roman" w:cs="Times New Roman" w:eastAsia="Times New Roman" w:hAnsi="Times New Roman"/>
          <w:b/>
          <w:bCs/>
          <w:color w:val="111827"/>
          <w:sz w:val="24"/>
          <w:szCs w:val="24"/>
        </w:rPr>
        <w:t xml:space="preserve">S5.1  Python prompts</w:t>
      </w:r>
    </w:p>
    <w:p>
      <w:pPr>
        <w:pStyle w:val="Heading2"/>
      </w:pPr>
      <w:r>
        <w:rPr>
          <w:rFonts w:ascii="Times New Roman" w:cs="Times New Roman" w:eastAsia="Times New Roman" w:hAnsi="Times New Roman"/>
          <w:b/>
          <w:bCs/>
          <w:color w:val="111827"/>
          <w:sz w:val="24"/>
          <w:szCs w:val="24"/>
        </w:rPr>
        <w:t xml:space="preserve">Task T1 (iris sepal correlation)</w:t>
      </w:r>
    </w:p>
    <w:p>
      <w:pPr>
        <w:pStyle w:val="Heading3"/>
      </w:pPr>
      <w:r>
        <w:rPr>
          <w:rFonts w:ascii="Times New Roman" w:cs="Times New Roman" w:eastAsia="Times New Roman" w:hAnsi="Times New Roman"/>
          <w:b/>
          <w:bCs/>
          <w:color w:val="111827"/>
          <w:sz w:val="24"/>
          <w:szCs w:val="24"/>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(input + method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(contract + fixed controls)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(full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CHECKLIST: [ ] n==150  [ ] method is pooled Pearson (not per-species, not Spearman/Kendall)  [ ] -1&lt;=r&lt;=1.</w:t>
      </w:r>
    </w:p>
    <w:p>
      <w:pPr>
        <w:shd w:fill="F7F7F8" w:val="clear"/>
        <w:spacing w:after="0" w:line="235"/>
      </w:pPr>
      <w:r>
        <w:rPr>
          <w:rFonts w:ascii="Courier New" w:cs="Courier New" w:eastAsia="Courier New" w:hAnsi="Courier New"/>
          <w:color w:val="1F2937"/>
          <w:sz w:val="15"/>
          <w:szCs w:val="15"/>
        </w:rPr>
        <w:t xml:space="preserve">FAILURE MODES TO AVOID: do NOT compute the correlation within each species and average it (Simpson's paradox flips the sign); do NOT use Spearman/Kendall; do NOT drop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T2 (penguin sex classifier)</w:t>
      </w:r>
    </w:p>
    <w:p>
      <w:pPr>
        <w:pStyle w:val="Heading3"/>
      </w:pPr>
      <w:r>
        <w:rPr>
          <w:rFonts w:ascii="Times New Roman" w:cs="Times New Roman" w:eastAsia="Times New Roman" w:hAnsi="Times New Roman"/>
          <w:b/>
          <w:bCs/>
          <w:color w:val="111827"/>
          <w:sz w:val="24"/>
          <w:szCs w:val="24"/>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features and the sex label.</w:t>
      </w:r>
    </w:p>
    <w:p>
      <w:pPr>
        <w:shd w:fill="F7F7F8" w:val="clear"/>
        <w:spacing w:after="0" w:line="235"/>
      </w:pPr>
      <w:r>
        <w:rPr>
          <w:rFonts w:ascii="Courier New" w:cs="Courier New" w:eastAsia="Courier New" w:hAnsi="Courier New"/>
          <w:color w:val="1F2937"/>
          <w:sz w:val="15"/>
          <w:szCs w:val="15"/>
        </w:rPr>
        <w:t xml:space="preserve">3. Split into train and test sets.</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(full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VALIDATION CHECKLIST: [ ] rows with NaN in the 5 columns dropped (n_used==333)  [ ] n_test==67  [ ] random_state==42 and stratify used  [ ] StandardScaler fit on train only  [ ] model is LogisticRegression.</w:t>
      </w:r>
    </w:p>
    <w:p>
      <w:pPr>
        <w:shd w:fill="F7F7F8" w:val="clear"/>
        <w:spacing w:after="0" w:line="235"/>
      </w:pPr>
      <w:r>
        <w:rPr>
          <w:rFonts w:ascii="Courier New" w:cs="Courier New" w:eastAsia="Courier New" w:hAnsi="Courier New"/>
          <w:color w:val="1F2937"/>
          <w:sz w:val="15"/>
          <w:szCs w:val="15"/>
        </w:rPr>
        <w:t xml:space="preserve">FAILURE MODES TO AVOID: do NOT use a different model; do NOT omit random_state (it makes the split vary run to run); do NOT skip scaling (LogisticRegression will not converge and accuracy becomes unstable); do NOT impute missing values; do NOT use cross-validation instead of the specified holdout; do NOT leak the test set into scaling.</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T3 (penguin body-mass ANOVA)</w:t>
      </w:r>
    </w:p>
    <w:p>
      <w:pPr>
        <w:pStyle w:val="Heading3"/>
      </w:pPr>
      <w:r>
        <w:rPr>
          <w:rFonts w:ascii="Times New Roman" w:cs="Times New Roman" w:eastAsia="Times New Roman" w:hAnsi="Times New Roman"/>
          <w:b/>
          <w:bCs/>
          <w:color w:val="111827"/>
          <w:sz w:val="24"/>
          <w:szCs w:val="24"/>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(full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CHECKLIST: [ ] rows with missing body_mass_g/species dropped (n==342)  [ ] test is one-way ANOVA (f_oneway)  [ ] effect size is eta-squared in [0,1].</w:t>
      </w:r>
    </w:p>
    <w:p>
      <w:pPr>
        <w:shd w:fill="F7F7F8" w:val="clear"/>
        <w:spacing w:after="0" w:line="235"/>
      </w:pPr>
      <w:r>
        <w:rPr>
          <w:rFonts w:ascii="Courier New" w:cs="Courier New" w:eastAsia="Courier New" w:hAnsi="Courier New"/>
          <w:color w:val="1F2937"/>
          <w:sz w:val="15"/>
          <w:szCs w:val="15"/>
        </w:rPr>
        <w:t xml:space="preserve">FAILURE MODES TO AVOID: do NOT report Cohen's d / omega-squared / epsilon-squared instead of eta-squared; do NOT use Kruskal-Wallis or pairwise t-tests as the primary test; do NOT impute missing values; do NOT report multiple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T4 (LTEM reef-fish biomass)</w:t>
      </w:r>
    </w:p>
    <w:p>
      <w:pPr>
        <w:pStyle w:val="Heading3"/>
      </w:pPr>
      <w:r>
        <w:rPr>
          <w:rFonts w:ascii="Times New Roman" w:cs="Times New Roman" w:eastAsia="Times New Roman" w:hAnsi="Times New Roman"/>
          <w:b/>
          <w:bCs/>
          <w:color w:val="111827"/>
          <w:sz w:val="24"/>
          <w:szCs w:val="24"/>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CHECKLIST: [ ] survey unit is (Reef, Transect)  [ ] you SUMMED within transect BEFORE averaging across transects  [ ] ~41 transect units  [ ] per-transect totals are of order 0.1-14, not ~0.1 overall.</w:t>
      </w:r>
    </w:p>
    <w:p>
      <w:pPr>
        <w:shd w:fill="F7F7F8" w:val="clear"/>
        <w:spacing w:after="0" w:line="235"/>
      </w:pPr>
      <w:r>
        <w:rPr>
          <w:rFonts w:ascii="Courier New" w:cs="Courier New" w:eastAsia="Courier New" w:hAnsi="Courier New"/>
          <w:color w:val="1F2937"/>
          <w:sz w:val="15"/>
          <w:szCs w:val="15"/>
        </w:rPr>
        <w:t xml:space="preserve">FAILURE MODES TO AVOID: do NOT average the row-level Biomass values directly (that is a per-record mean and under-counts community biomass by ~30x); do NOT divide by Area again; do NOT drop transects or reefs; do NOT count blank-Biomass records as zeros that dilute the mean; do NOT weight by Quantity or Size (Biomass already accounts for them).</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S5.2  R prompts</w:t>
      </w:r>
    </w:p>
    <w:p>
      <w:pPr>
        <w:pStyle w:val="Heading2"/>
      </w:pPr>
      <w:r>
        <w:rPr>
          <w:rFonts w:ascii="Times New Roman" w:cs="Times New Roman" w:eastAsia="Times New Roman" w:hAnsi="Times New Roman"/>
          <w:b/>
          <w:bCs/>
          <w:color w:val="111827"/>
          <w:sz w:val="24"/>
          <w:szCs w:val="24"/>
        </w:rPr>
        <w:t xml:space="preserve">Task T1 (iris sepal correlation)</w:t>
      </w:r>
    </w:p>
    <w:p>
      <w:pPr>
        <w:pStyle w:val="Heading3"/>
      </w:pPr>
      <w:r>
        <w:rPr>
          <w:rFonts w:ascii="Times New Roman" w:cs="Times New Roman" w:eastAsia="Times New Roman" w:hAnsi="Times New Roman"/>
          <w:b/>
          <w:bCs/>
          <w:color w:val="111827"/>
          <w:sz w:val="24"/>
          <w:szCs w:val="24"/>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(input + method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(contract + fixed controls)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(full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 LIST: n == 150; method is pooled Pearson (not by Species, not Spearman or Kendall); the value is between -1 and 1.</w:t>
      </w:r>
    </w:p>
    <w:p>
      <w:pPr>
        <w:shd w:fill="F7F7F8" w:val="clear"/>
        <w:spacing w:after="0" w:line="235"/>
      </w:pPr>
      <w:r>
        <w:rPr>
          <w:rFonts w:ascii="Courier New" w:cs="Courier New" w:eastAsia="Courier New" w:hAnsi="Courier New"/>
          <w:color w:val="1F2937"/>
          <w:sz w:val="15"/>
          <w:szCs w:val="15"/>
        </w:rPr>
        <w:t xml:space="preserve">DO NOT: compute the correlation within each Species and average it (Simpson's paradox flips the sign); use method = 'spearman' or 'kendall'; drop any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T2 (penguin sex classifier)</w:t>
      </w:r>
    </w:p>
    <w:p>
      <w:pPr>
        <w:pStyle w:val="Heading3"/>
      </w:pPr>
      <w:r>
        <w:rPr>
          <w:rFonts w:ascii="Times New Roman" w:cs="Times New Roman" w:eastAsia="Times New Roman" w:hAnsi="Times New Roman"/>
          <w:b/>
          <w:bCs/>
          <w:color w:val="111827"/>
          <w:sz w:val="24"/>
          <w:szCs w:val="24"/>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the four body-measurement predictors and the sex label.</w:t>
      </w:r>
    </w:p>
    <w:p>
      <w:pPr>
        <w:shd w:fill="F7F7F8" w:val="clear"/>
        <w:spacing w:after="0" w:line="235"/>
      </w:pPr>
      <w:r>
        <w:rPr>
          <w:rFonts w:ascii="Courier New" w:cs="Courier New" w:eastAsia="Courier New" w:hAnsi="Courier New"/>
          <w:color w:val="1F2937"/>
          <w:sz w:val="15"/>
          <w:szCs w:val="15"/>
        </w:rPr>
        <w:t xml:space="preserve">3. Split into a training set and a test set.</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(full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VALIDATION CHECK LIST: rows with NA in the five columns dropped (n_used == 333); n_test == 67; set.seed(42) and the exact split above were used; model is glm binomial; accuracy between 0 and 1.</w:t>
      </w:r>
    </w:p>
    <w:p>
      <w:pPr>
        <w:shd w:fill="F7F7F8" w:val="clear"/>
        <w:spacing w:after="0" w:line="235"/>
      </w:pPr>
      <w:r>
        <w:rPr>
          <w:rFonts w:ascii="Courier New" w:cs="Courier New" w:eastAsia="Courier New" w:hAnsi="Courier New"/>
          <w:color w:val="1F2937"/>
          <w:sz w:val="15"/>
          <w:szCs w:val="15"/>
        </w:rPr>
        <w:t xml:space="preserve">DO NOT: use a different model (randomForest, knn, tree, svm); omit set.seed (that makes the split vary run to run); change the split rule; impute NA; use cross-validation instead of the specified holdout.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T3 (penguin body-mass ANOVA)</w:t>
      </w:r>
    </w:p>
    <w:p>
      <w:pPr>
        <w:pStyle w:val="Heading3"/>
      </w:pPr>
      <w:r>
        <w:rPr>
          <w:rFonts w:ascii="Times New Roman" w:cs="Times New Roman" w:eastAsia="Times New Roman" w:hAnsi="Times New Roman"/>
          <w:b/>
          <w:bCs/>
          <w:color w:val="111827"/>
          <w:sz w:val="24"/>
          <w:szCs w:val="24"/>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(full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 LIST: rows with NA dropped (n == 342); test is one-way ANOVA (aov); effect size is eta-squared in [0, 1].</w:t>
      </w:r>
    </w:p>
    <w:p>
      <w:pPr>
        <w:shd w:fill="F7F7F8" w:val="clear"/>
        <w:spacing w:after="0" w:line="235"/>
      </w:pPr>
      <w:r>
        <w:rPr>
          <w:rFonts w:ascii="Courier New" w:cs="Courier New" w:eastAsia="Courier New" w:hAnsi="Courier New"/>
          <w:color w:val="1F2937"/>
          <w:sz w:val="15"/>
          <w:szCs w:val="15"/>
        </w:rPr>
        <w:t xml:space="preserve">DO NOT: report Cohen's d, omega-squared, or epsilon-squared instead of eta-squared; use kruskal.test or pairwise t-tests as the primary test; impute NA; report several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T4 (LTEM reef-fish biomass)</w:t>
      </w:r>
    </w:p>
    <w:p>
      <w:pPr>
        <w:pStyle w:val="Heading3"/>
      </w:pPr>
      <w:r>
        <w:rPr>
          <w:rFonts w:ascii="Times New Roman" w:cs="Times New Roman" w:eastAsia="Times New Roman" w:hAnsi="Times New Roman"/>
          <w:b/>
          <w:bCs/>
          <w:color w:val="111827"/>
          <w:sz w:val="24"/>
          <w:szCs w:val="24"/>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 LIST: the unit is (Reef, Transect); you SUMMED within a transect BEFORE averaging across transects; about 39 transect units; per-transect totals are of order 0.1 to 14, not about 0.1 overall.</w:t>
      </w:r>
    </w:p>
    <w:p>
      <w:pPr>
        <w:shd w:fill="F7F7F8" w:val="clear"/>
        <w:spacing w:after="0" w:line="235"/>
      </w:pPr>
      <w:r>
        <w:rPr>
          <w:rFonts w:ascii="Courier New" w:cs="Courier New" w:eastAsia="Courier New" w:hAnsi="Courier New"/>
          <w:color w:val="1F2937"/>
          <w:sz w:val="15"/>
          <w:szCs w:val="15"/>
        </w:rPr>
        <w:t xml:space="preserve">DO NOT: average the row-level Biomass values directly (that under-counts biomass by about 30 times); divide by Area; drop transects or reefs; weight by Quantity or Size.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1"/>
      </w:pPr>
      <w:r>
        <w:rPr>
          <w:rFonts w:ascii="Times New Roman" w:cs="Times New Roman" w:eastAsia="Times New Roman" w:hAnsi="Times New Roman"/>
          <w:b/>
          <w:bCs/>
          <w:color w:val="111827"/>
          <w:sz w:val="24"/>
          <w:szCs w:val="24"/>
        </w:rPr>
        <w:t xml:space="preserve">S6  Full results and statistics</w:t>
      </w:r>
    </w:p>
    <w:p>
      <w:pPr>
        <w:pStyle w:val="Heading2"/>
      </w:pPr>
      <w:r>
        <w:rPr>
          <w:rFonts w:ascii="Times New Roman" w:cs="Times New Roman" w:eastAsia="Times New Roman" w:hAnsi="Times New Roman"/>
          <w:b/>
          <w:bCs/>
          <w:color w:val="111827"/>
          <w:sz w:val="24"/>
          <w:szCs w:val="24"/>
        </w:rPr>
        <w:t xml:space="preserve">Table S6. Per-cell reproducibility and validity in Python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620"/>
        <w:gridCol w:w="1150"/>
        <w:gridCol w:w="1000"/>
        <w:gridCol w:w="900"/>
        <w:gridCol w:w="900"/>
        <w:gridCol w:w="1200"/>
        <w:gridCol w:w="900"/>
        <w:gridCol w:w="1440"/>
      </w:tblGrid>
      <w:tr>
        <w:trPr>
          <w:tblHeader/>
        </w:trPr>
        <w:tc>
          <w:tcPr>
            <w:tcW w:type="dxa" w:w="12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Cell</w:t>
            </w:r>
          </w:p>
        </w:tc>
        <w:tc>
          <w:tcPr>
            <w:tcW w:type="dxa" w:w="62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n</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SD</w:t>
            </w:r>
          </w:p>
        </w:tc>
        <w:tc>
          <w:tcPr>
            <w:tcW w:type="dxa" w:w="10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CV</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#dist.</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exact</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cat-agree</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valid</w:t>
            </w:r>
          </w:p>
        </w:tc>
        <w:tc>
          <w:tcPr>
            <w:tcW w:type="dxa" w:w="144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|Δref|</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0.0061</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0.007</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0.0061</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0.0090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60%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40%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0.0119</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0.0086</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40%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0.0048</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60%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bl>
    <w:p>
      <w:pPr>
        <w:spacing w:after="120"/>
      </w:pPr>
    </w:p>
    <w:p>
      <w:pPr>
        <w:pStyle w:val="Heading2"/>
      </w:pPr>
      <w:r>
        <w:rPr>
          <w:rFonts w:ascii="Times New Roman" w:cs="Times New Roman" w:eastAsia="Times New Roman" w:hAnsi="Times New Roman"/>
          <w:b/>
          <w:bCs/>
          <w:color w:val="111827"/>
          <w:sz w:val="24"/>
          <w:szCs w:val="24"/>
        </w:rPr>
        <w:t xml:space="preserve">Table S7. Per-cell reproducibility and validity in R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900"/>
        <w:gridCol w:w="1700"/>
        <w:gridCol w:w="1700"/>
        <w:gridCol w:w="1650"/>
        <w:gridCol w:w="1650"/>
      </w:tblGrid>
      <w:tr>
        <w:trPr>
          <w:tblHeader/>
        </w:trPr>
        <w:tc>
          <w:tcPr>
            <w:tcW w:type="dxa" w:w="17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Cell</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SD</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#distinct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exact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valid</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0.0160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80%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bl>
    <w:p>
      <w:pPr>
        <w:spacing w:after="120"/>
      </w:pPr>
    </w:p>
    <w:p>
      <w:pPr>
        <w:pStyle w:val="Heading2"/>
      </w:pPr>
      <w:r>
        <w:rPr>
          <w:rFonts w:ascii="Times New Roman" w:cs="Times New Roman" w:eastAsia="Times New Roman" w:hAnsi="Times New Roman"/>
          <w:b/>
          <w:bCs/>
          <w:color w:val="111827"/>
          <w:sz w:val="24"/>
          <w:szCs w:val="24"/>
        </w:rPr>
        <w:t xml:space="preserve">Table S8. Cross-language agreement (Python modal value vs R modal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700"/>
        <w:gridCol w:w="1700"/>
        <w:gridCol w:w="1900"/>
        <w:gridCol w:w="2500"/>
      </w:tblGrid>
      <w:tr>
        <w:trPr>
          <w:tblHeader/>
        </w:trPr>
        <w:tc>
          <w:tcPr>
            <w:tcW w:type="dxa" w:w="15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Cell</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Python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R</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|difference|</w:t>
            </w:r>
          </w:p>
        </w:tc>
        <w:tc>
          <w:tcPr>
            <w:tcW w:type="dxa" w:w="25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Agree within tolerance?</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0.0294</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0.8955</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0.0145</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0.8929</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0.0171</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bl>
    <w:p>
      <w:pPr>
        <w:spacing w:after="120" w:before="100" w:line="336"/>
      </w:pPr>
      <w:r>
        <w:rPr>
          <w:rFonts w:ascii="Times New Roman" w:cs="Times New Roman" w:eastAsia="Times New Roman" w:hAnsi="Times New Roman"/>
          <w:color w:val="1F2937"/>
          <w:sz w:val="20"/>
          <w:szCs w:val="20"/>
        </w:rPr>
        <w:t xml:space="preserve">The deterministic tasks (T1, T3, T4) give the same value in Python and R at every level, including the wrong value for T4 before the contract. The classifier (T2) does not match across languages, because the two use different models and random number generators.</w:t>
      </w:r>
    </w:p>
    <w:p>
      <w:pPr>
        <w:spacing w:after="120"/>
      </w:pPr>
    </w:p>
    <w:p>
      <w:pPr>
        <w:pStyle w:val="Heading2"/>
      </w:pPr>
      <w:r>
        <w:rPr>
          <w:rFonts w:ascii="Times New Roman" w:cs="Times New Roman" w:eastAsia="Times New Roman" w:hAnsi="Times New Roman"/>
          <w:b/>
          <w:bCs/>
          <w:color w:val="111827"/>
          <w:sz w:val="24"/>
          <w:szCs w:val="24"/>
        </w:rPr>
        <w:t xml:space="preserve">Key inferential contrasts (Python)</w:t>
      </w:r>
    </w:p>
    <w:p>
      <w:pPr>
        <w:pStyle w:val="ListParagraph"/>
        <w:numPr>
          <w:ilvl w:val="0"/>
          <w:numId w:val="2"/>
        </w:numPr>
        <w:spacing w:after="60" w:line="320"/>
      </w:pPr>
      <w:r>
        <w:rPr>
          <w:rFonts w:ascii="Times New Roman" w:cs="Times New Roman" w:eastAsia="Times New Roman" w:hAnsi="Times New Roman"/>
          <w:b/>
          <w:bCs/>
          <w:color w:val="1F2937"/>
          <w:sz w:val="24"/>
          <w:szCs w:val="24"/>
        </w:rPr>
        <w:t xml:space="preserve">T2 run to run agreement.</w:t>
      </w:r>
      <w:r>
        <w:rPr>
          <w:rFonts w:ascii="Times New Roman" w:cs="Times New Roman" w:eastAsia="Times New Roman" w:hAnsi="Times New Roman"/>
          <w:color w:val="1F2937"/>
          <w:sz w:val="24"/>
          <w:szCs w:val="24"/>
        </w:rPr>
        <w:t xml:space="preserve"> Low skill (C0 to C2) 16 of 30, high skill (C3 and C4) 20 of 20. Fisher's exact P = 2.2×10⁻⁴. Pooled low-skill SD = 0.0086, bootstrap 95% CI [0.0063, 0.0109] (excludes 0); high-skill SD = 0.0000.</w:t>
      </w:r>
    </w:p>
    <w:p>
      <w:pPr>
        <w:pStyle w:val="ListParagraph"/>
        <w:numPr>
          <w:ilvl w:val="0"/>
          <w:numId w:val="2"/>
        </w:numPr>
        <w:spacing w:after="60" w:line="320"/>
      </w:pPr>
      <w:r>
        <w:rPr>
          <w:rFonts w:ascii="Times New Roman" w:cs="Times New Roman" w:eastAsia="Times New Roman" w:hAnsi="Times New Roman"/>
          <w:b/>
          <w:bCs/>
          <w:color w:val="1F2937"/>
          <w:sz w:val="24"/>
          <w:szCs w:val="24"/>
        </w:rPr>
        <w:t xml:space="preserve">T2 validity against the reference.</w:t>
      </w:r>
      <w:r>
        <w:rPr>
          <w:rFonts w:ascii="Times New Roman" w:cs="Times New Roman" w:eastAsia="Times New Roman" w:hAnsi="Times New Roman"/>
          <w:color w:val="1F2937"/>
          <w:sz w:val="24"/>
          <w:szCs w:val="24"/>
        </w:rPr>
        <w:t xml:space="preserve"> Low skill 12 of 30, high skill 20 of 20. Fisher's exact P = 8.4×10⁻⁶.</w:t>
      </w:r>
    </w:p>
    <w:p>
      <w:pPr>
        <w:pStyle w:val="ListParagraph"/>
        <w:numPr>
          <w:ilvl w:val="0"/>
          <w:numId w:val="2"/>
        </w:numPr>
        <w:spacing w:after="60" w:line="320"/>
      </w:pPr>
      <w:r>
        <w:rPr>
          <w:rFonts w:ascii="Times New Roman" w:cs="Times New Roman" w:eastAsia="Times New Roman" w:hAnsi="Times New Roman"/>
          <w:b/>
          <w:bCs/>
          <w:color w:val="1F2937"/>
          <w:sz w:val="24"/>
          <w:szCs w:val="24"/>
        </w:rPr>
        <w:t xml:space="preserve">T4 validity against the reference.</w:t>
      </w:r>
      <w:r>
        <w:rPr>
          <w:rFonts w:ascii="Times New Roman" w:cs="Times New Roman" w:eastAsia="Times New Roman" w:hAnsi="Times New Roman"/>
          <w:color w:val="1F2937"/>
          <w:sz w:val="24"/>
          <w:szCs w:val="24"/>
        </w:rPr>
        <w:t xml:space="preserve"> Before the contract (C0 and C1) 0 of 20, with the contract and above (C2 to C4) 30 of 30. Fisher's exact P = 2.1×10⁻¹⁴. Run to run reproducibility was 100% at every level.</w:t>
      </w:r>
    </w:p>
    <w:p>
      <w:pPr>
        <w:spacing w:after="120" w:before="120" w:line="336"/>
      </w:pPr>
      <w:r>
        <w:rPr>
          <w:rFonts w:ascii="Times New Roman" w:cs="Times New Roman" w:eastAsia="Times New Roman" w:hAnsi="Times New Roman"/>
          <w:color w:val="1F2937"/>
          <w:sz w:val="20"/>
          <w:szCs w:val="20"/>
        </w:rPr>
        <w:t xml:space="preserve">The same contrasts hold in R. The R classifier (T2) moved from run to run at the low levels and reached exact agreement at C3 and C4 (at the R value 0.8657), and the R biomass task (T4) was reproducible but wrong until the contract at C2, exactly as in Python. We also ran Brown-Forsythe Levene tests for equal variance, but they are not meaningful here because the high-skill cells have exactly zero variance, so the proportion tests above are the right summary. The full run-level data (400 records across both languages, each with its value, method, parameters, and sample size) are in results</w:t>
      </w:r>
      <w:r>
        <w:rPr>
          <w:rFonts w:ascii="Times New Roman" w:cs="Times New Roman" w:eastAsia="Times New Roman" w:hAnsi="Times New Roman"/>
          <w:i/>
          <w:iCs/>
          <w:color w:val="1F2937"/>
          <w:sz w:val="20"/>
          <w:szCs w:val="20"/>
        </w:rPr>
        <w:t xml:space="preserve">v2.json and results</w:t>
      </w:r>
      <w:r>
        <w:rPr>
          <w:rFonts w:ascii="Times New Roman" w:cs="Times New Roman" w:eastAsia="Times New Roman" w:hAnsi="Times New Roman"/>
          <w:color w:val="1F2937"/>
          <w:sz w:val="20"/>
          <w:szCs w:val="20"/>
        </w:rPr>
        <w:t xml:space="preserve">v2_R.json (S8).</w:t>
      </w:r>
    </w:p>
    <w:p>
      <w:r>
        <w:br w:type="page"/>
      </w:r>
    </w:p>
    <w:p>
      <w:pPr>
        <w:pStyle w:val="Heading1"/>
      </w:pPr>
      <w:r>
        <w:rPr>
          <w:rFonts w:ascii="Times New Roman" w:cs="Times New Roman" w:eastAsia="Times New Roman" w:hAnsi="Times New Roman"/>
          <w:b/>
          <w:bCs/>
          <w:color w:val="111827"/>
          <w:sz w:val="24"/>
          <w:szCs w:val="24"/>
        </w:rPr>
        <w:t xml:space="preserve">S7  Additional figures</w:t>
      </w:r>
    </w:p>
    <w:p>
      <w:pPr>
        <w:spacing w:after="80" w:before="120"/>
        <w:jc w:val="center"/>
      </w:pPr>
      <w:r>
        <w:drawing>
          <wp:inline distT="0" distB="0" distL="0" distR="0">
            <wp:extent cx="5715000" cy="3810000"/>
            <wp:effectExtent t="0" r="0" b="0" l="0"/>
            <wp:docPr id="1" name="Value strips" descr="Value strips" title="Value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S2. All 200 Python outputs by task and level (10 runs per cell, with small horizontal jitter so points do not overlap). The dashed line shows the reference. T1 and T3 fall on the reference at every level, T2 scatters until C3, and T4 sits consistently away from the reference (3.2952) at C0 and C1 and moves to the reference (3.4642) from C2.</w:t>
      </w:r>
    </w:p>
    <w:p>
      <w:pPr>
        <w:spacing w:after="80" w:before="120"/>
        <w:jc w:val="center"/>
      </w:pPr>
      <w:r>
        <w:drawing>
          <wp:inline distT="0" distB="0" distL="0" distR="0">
            <wp:extent cx="5715000" cy="3810000"/>
            <wp:effectExtent t="0" r="0" b="0" l="0"/>
            <wp:docPr id="1" name="Python versus R" descr="Python versus R" title="Python versus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S3. Python (blue) and R (red) outputs by skill level, 10 runs per cell per language. Dashed lines show the reference for each language. T1, T3, and T4 sit on one shared line in both languages, while T2 sits on two different lines. This is the same figure discussed in the main text (main Figure 2), shown here at full size.</w:t>
      </w:r>
    </w:p>
    <w:p>
      <w:pPr>
        <w:pStyle w:val="Heading1"/>
      </w:pPr>
      <w:r>
        <w:rPr>
          <w:rFonts w:ascii="Times New Roman" w:cs="Times New Roman" w:eastAsia="Times New Roman" w:hAnsi="Times New Roman"/>
          <w:b/>
          <w:bCs/>
          <w:color w:val="111827"/>
          <w:sz w:val="24"/>
          <w:szCs w:val="24"/>
        </w:rPr>
        <w:t xml:space="preserve">S8  Software environment, code and data availability</w:t>
      </w:r>
    </w:p>
    <w:p>
      <w:pPr>
        <w:spacing w:after="120" w:line="336"/>
      </w:pPr>
      <w:r>
        <w:rPr>
          <w:rFonts w:ascii="Times New Roman" w:cs="Times New Roman" w:eastAsia="Times New Roman" w:hAnsi="Times New Roman"/>
          <w:b/>
          <w:bCs/>
          <w:color w:val="1F2937"/>
          <w:sz w:val="24"/>
          <w:szCs w:val="24"/>
        </w:rPr>
        <w:t xml:space="preserve">Environment.</w:t>
      </w:r>
      <w:r>
        <w:rPr>
          <w:rFonts w:ascii="Times New Roman" w:cs="Times New Roman" w:eastAsia="Times New Roman" w:hAnsi="Times New Roman"/>
          <w:color w:val="1F2937"/>
          <w:sz w:val="24"/>
          <w:szCs w:val="24"/>
        </w:rPr>
        <w:t xml:space="preserve"> Python 3 (scikit-learn 1.9.0, scipy 1.16.3, numpy 2.4.6, pandas, matplotlib) and R 4.6.0 (stats, dplyr, readr). Agents were general-purpose coding agents built on a single underlying LLM, each running Python or R in an isolated working context.</w:t>
      </w:r>
    </w:p>
    <w:p>
      <w:pPr>
        <w:spacing w:after="120" w:line="336"/>
      </w:pPr>
      <w:r>
        <w:rPr>
          <w:rFonts w:ascii="Times New Roman" w:cs="Times New Roman" w:eastAsia="Times New Roman" w:hAnsi="Times New Roman"/>
          <w:b/>
          <w:bCs/>
          <w:color w:val="1F2937"/>
          <w:sz w:val="24"/>
          <w:szCs w:val="24"/>
        </w:rPr>
        <w:t xml:space="preserve">Datasets.</w:t>
      </w:r>
      <w:r>
        <w:rPr>
          <w:rFonts w:ascii="Times New Roman" w:cs="Times New Roman" w:eastAsia="Times New Roman" w:hAnsi="Times New Roman"/>
          <w:color w:val="1F2937"/>
          <w:sz w:val="24"/>
          <w:szCs w:val="24"/>
        </w:rPr>
        <w:t xml:space="preserve"> iris (150 rows; built into R and from scikit-learn); penguins.csv (344 rows; Palmer Penguins, Horst et al. 2020); ltem</w:t>
      </w:r>
      <w:r>
        <w:rPr>
          <w:rFonts w:ascii="Times New Roman" w:cs="Times New Roman" w:eastAsia="Times New Roman" w:hAnsi="Times New Roman"/>
          <w:i/>
          <w:iCs/>
          <w:color w:val="1F2937"/>
          <w:sz w:val="24"/>
          <w:szCs w:val="24"/>
        </w:rPr>
        <w:t xml:space="preserve">cabo</w:t>
      </w:r>
      <w:r>
        <w:rPr>
          <w:rFonts w:ascii="Times New Roman" w:cs="Times New Roman" w:eastAsia="Times New Roman" w:hAnsi="Times New Roman"/>
          <w:color w:val="1F2937"/>
          <w:sz w:val="24"/>
          <w:szCs w:val="24"/>
        </w:rPr>
        <w:t xml:space="preserve">pulmo_2023.csv (2,798 reef-fish records, 10 reefs, 41 transect units; Long-Term Ecological Monitoring programme, Cabo Pulmo National Park, Gulf of California, 2023).</w:t>
      </w:r>
    </w:p>
    <w:p>
      <w:pPr>
        <w:spacing w:after="120" w:line="336"/>
      </w:pPr>
      <w:r>
        <w:rPr>
          <w:rFonts w:ascii="Times New Roman" w:cs="Times New Roman" w:eastAsia="Times New Roman" w:hAnsi="Times New Roman"/>
          <w:b/>
          <w:bCs/>
          <w:color w:val="1F2937"/>
          <w:sz w:val="24"/>
          <w:szCs w:val="24"/>
        </w:rPr>
        <w:t xml:space="preserve">Materials archived (OSF/Zenodo on submission).</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references.json and references_R.json hold the design and the reference values for each language.</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prompts/ and prompts_r/ hold the 20 Python and 20 R condition prompts (S5).</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run</w:t>
      </w:r>
      <w:r>
        <w:rPr>
          <w:rFonts w:ascii="Times New Roman" w:cs="Times New Roman" w:eastAsia="Times New Roman" w:hAnsi="Times New Roman"/>
          <w:i/>
          <w:iCs/>
          <w:color w:val="1F2937"/>
          <w:sz w:val="24"/>
          <w:szCs w:val="24"/>
        </w:rPr>
        <w:t xml:space="preserve">experiment.workflow.js and run</w:t>
      </w:r>
      <w:r>
        <w:rPr>
          <w:rFonts w:ascii="Times New Roman" w:cs="Times New Roman" w:eastAsia="Times New Roman" w:hAnsi="Times New Roman"/>
          <w:color w:val="1F2937"/>
          <w:sz w:val="24"/>
          <w:szCs w:val="24"/>
        </w:rPr>
        <w:t xml:space="preserve">experiment_r.workflow.js orchestrated the 200 Python and 200 R runs (4 tasks by 5 levels by 10 replicates each), with up to 3 retries per cell and enforced structured output.</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results</w:t>
      </w:r>
      <w:r>
        <w:rPr>
          <w:rFonts w:ascii="Times New Roman" w:cs="Times New Roman" w:eastAsia="Times New Roman" w:hAnsi="Times New Roman"/>
          <w:i/>
          <w:iCs/>
          <w:color w:val="1F2937"/>
          <w:sz w:val="24"/>
          <w:szCs w:val="24"/>
        </w:rPr>
        <w:t xml:space="preserve">v2.json and results</w:t>
      </w:r>
      <w:r>
        <w:rPr>
          <w:rFonts w:ascii="Times New Roman" w:cs="Times New Roman" w:eastAsia="Times New Roman" w:hAnsi="Times New Roman"/>
          <w:color w:val="1F2937"/>
          <w:sz w:val="24"/>
          <w:szCs w:val="24"/>
        </w:rPr>
        <w:t xml:space="preserve">v2_R.json hold every run's structured output (200 records each).</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analyze</w:t>
      </w:r>
      <w:r>
        <w:rPr>
          <w:rFonts w:ascii="Times New Roman" w:cs="Times New Roman" w:eastAsia="Times New Roman" w:hAnsi="Times New Roman"/>
          <w:i/>
          <w:iCs/>
          <w:color w:val="1F2937"/>
          <w:sz w:val="24"/>
          <w:szCs w:val="24"/>
        </w:rPr>
        <w:t xml:space="preserve">v2.py scores the Python arm; analyze</w:t>
      </w:r>
      <w:r>
        <w:rPr>
          <w:rFonts w:ascii="Times New Roman" w:cs="Times New Roman" w:eastAsia="Times New Roman" w:hAnsi="Times New Roman"/>
          <w:color w:val="1F2937"/>
          <w:sz w:val="24"/>
          <w:szCs w:val="24"/>
        </w:rPr>
        <w:t xml:space="preserve">cross_language.py scores R and the Python-versus-R comparison and draws the comparison figure.</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generate</w:t>
      </w:r>
      <w:r>
        <w:rPr>
          <w:rFonts w:ascii="Times New Roman" w:cs="Times New Roman" w:eastAsia="Times New Roman" w:hAnsi="Times New Roman"/>
          <w:i/>
          <w:iCs/>
          <w:color w:val="1F2937"/>
          <w:sz w:val="24"/>
          <w:szCs w:val="24"/>
        </w:rPr>
        <w:t xml:space="preserve">prompts.py and generate</w:t>
      </w:r>
      <w:r>
        <w:rPr>
          <w:rFonts w:ascii="Times New Roman" w:cs="Times New Roman" w:eastAsia="Times New Roman" w:hAnsi="Times New Roman"/>
          <w:color w:val="1F2937"/>
          <w:sz w:val="24"/>
          <w:szCs w:val="24"/>
        </w:rPr>
        <w:t xml:space="preserve">prompts_r.py regenerate the prompt files; data/ holds the three input CSV files.</w:t>
      </w:r>
    </w:p>
    <w:p>
      <w:pPr>
        <w:spacing w:after="120" w:before="100" w:line="336"/>
      </w:pPr>
      <w:r>
        <w:rPr>
          <w:rFonts w:ascii="Times New Roman" w:cs="Times New Roman" w:eastAsia="Times New Roman" w:hAnsi="Times New Roman"/>
          <w:color w:val="1F2937"/>
          <w:sz w:val="24"/>
          <w:szCs w:val="24"/>
        </w:rPr>
        <w:t xml:space="preserve">These materials are in the public Git repository https://github.com/Fabbiologia/ai-skills-reproducibility-ecology (archived with a DOI on acceptance). The restricted LTEM reef-fish file for Task T4 is not distributed there and is available on request from the Aburto Lab.</w:t>
      </w:r>
    </w:p>
    <w:p>
      <w:pPr>
        <w:spacing w:after="120" w:before="100" w:line="336"/>
      </w:pPr>
      <w:r>
        <w:rPr>
          <w:rFonts w:ascii="Times New Roman" w:cs="Times New Roman" w:eastAsia="Times New Roman" w:hAnsi="Times New Roman"/>
          <w:color w:val="1F2937"/>
          <w:sz w:val="24"/>
          <w:szCs w:val="24"/>
        </w:rPr>
        <w:t xml:space="preserve">Together these make the experiment fully reproducible end-to-end. Re-running each orchestration regenerates its run set, and the analysis scripts regenerate every number and figure reported here.</w:t>
      </w:r>
    </w:p>
    <w:p>
      <w:pPr>
        <w:pStyle w:val="Heading1"/>
      </w:pPr>
      <w:r>
        <w:rPr>
          <w:rFonts w:ascii="Times New Roman" w:cs="Times New Roman" w:eastAsia="Times New Roman" w:hAnsi="Times New Roman"/>
          <w:b/>
          <w:bCs/>
          <w:color w:val="111827"/>
          <w:sz w:val="24"/>
          <w:szCs w:val="24"/>
        </w:rPr>
        <w:t xml:space="preserve">S9  Experiment 2 materials: report prompts and results</w:t>
      </w:r>
    </w:p>
    <w:p>
      <w:pPr>
        <w:spacing w:after="120" w:line="336"/>
      </w:pPr>
      <w:r>
        <w:rPr>
          <w:rFonts w:ascii="Times New Roman" w:cs="Times New Roman" w:eastAsia="Times New Roman" w:hAnsi="Times New Roman"/>
          <w:color w:val="1F2937"/>
          <w:sz w:val="24"/>
          <w:szCs w:val="24"/>
        </w:rPr>
        <w:t xml:space="preserve">The second experiment asked agents to write a short data report on the Palmer Penguins dataset and then graded each report with a second judge agent. Two report versions were used, a standard report with four common analyses and a hard report with six analyses that each have a real method fork. Each version had three conditions (no skill, a structure-only skill, and a full methods skill) with 8 reports per condition. The judge scored each report against one fixed rubric, the same for every condition.</w:t>
      </w:r>
    </w:p>
    <w:p>
      <w:pPr>
        <w:pStyle w:val="Heading2"/>
      </w:pPr>
      <w:r>
        <w:rPr>
          <w:rFonts w:ascii="Times New Roman" w:cs="Times New Roman" w:eastAsia="Times New Roman" w:hAnsi="Times New Roman"/>
          <w:b/>
          <w:bCs/>
          <w:color w:val="111827"/>
          <w:sz w:val="24"/>
          <w:szCs w:val="24"/>
        </w:rPr>
        <w:t xml:space="preserve">S9.1  Judge rubric for the hard report</w:t>
      </w:r>
    </w:p>
    <w:p>
      <w:pPr>
        <w:spacing w:after="120" w:line="336"/>
      </w:pPr>
      <w:r>
        <w:rPr>
          <w:rFonts w:ascii="Times New Roman" w:cs="Times New Roman" w:eastAsia="Times New Roman" w:hAnsi="Times New Roman"/>
          <w:color w:val="1F2937"/>
          <w:sz w:val="24"/>
          <w:szCs w:val="24"/>
        </w:rPr>
        <w:t xml:space="preserve">A report passed an item if it used exactly this method: Q1, KMeans with k=3 on standardised features (not a different number of clusters, not raw data); Q2, 5-fold cross-validation of a standardised logistic-regression classifier (not a single holdout); Q3, ordinary least squares of body mass on the three morphological predictors only (no species term, no interactions); Q4, a t-based confidence interval for mean flipper length (not a bootstrap); Q5, a pooled Pearson correlation of bill length and bill depth (not a within-species correlation); Q6, PCA after standardising the features (not on raw data); plus the required structure and listwise deletion of missing data. Adherence is the fraction of the eight items that pass.</w:t>
      </w:r>
    </w:p>
    <w:p>
      <w:pPr>
        <w:pStyle w:val="Heading2"/>
      </w:pPr>
      <w:r>
        <w:rPr>
          <w:rFonts w:ascii="Times New Roman" w:cs="Times New Roman" w:eastAsia="Times New Roman" w:hAnsi="Times New Roman"/>
          <w:b/>
          <w:bCs/>
          <w:color w:val="111827"/>
          <w:sz w:val="24"/>
          <w:szCs w:val="24"/>
        </w:rPr>
        <w:t xml:space="preserve">S9.2  Report results by condition (8 reports per condition)</w:t>
      </w:r>
    </w:p>
    <w:p>
      <w:pPr>
        <w:spacing w:after="40" w:line="336"/>
      </w:pPr>
      <w:r>
        <w:rPr>
          <w:rFonts w:ascii="Times New Roman" w:cs="Times New Roman" w:eastAsia="Times New Roman" w:hAnsi="Times New Roman"/>
          <w:color w:val="1F2937"/>
          <w:sz w:val="19"/>
          <w:szCs w:val="19"/>
        </w:rPr>
        <w:t xml:space="preserve">Table S9. Standard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900"/>
        <w:gridCol w:w="1800"/>
        <w:gridCol w:w="1900"/>
      </w:tblGrid>
      <w:tr>
        <w:trPr>
          <w:tblHeader/>
        </w:trPr>
        <w:tc>
          <w:tcPr>
            <w:tcW w:type="dxa" w:w="37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Metric</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No skill</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Structure</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Full skill</w:t>
            </w:r>
          </w:p>
        </w:tc>
      </w:tr>
      <w:tr>
        <w:tc>
          <w:tcPr>
            <w:tcW w:type="dxa" w:w="3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Skill coherence (adherence)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79%</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83%</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Report reproducibility (all numbers agree)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Validity (matches reference)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bl>
    <w:p>
      <w:pPr>
        <w:spacing w:after="100"/>
      </w:pPr>
    </w:p>
    <w:p>
      <w:pPr>
        <w:spacing w:after="40" w:line="336"/>
      </w:pPr>
      <w:r>
        <w:rPr>
          <w:rFonts w:ascii="Times New Roman" w:cs="Times New Roman" w:eastAsia="Times New Roman" w:hAnsi="Times New Roman"/>
          <w:color w:val="1F2937"/>
          <w:sz w:val="19"/>
          <w:szCs w:val="19"/>
        </w:rPr>
        <w:t xml:space="preserve">Table S10. Hard report, per-analysis run-to-run agreement (exact-match rate across the 8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2000"/>
        <w:gridCol w:w="2100"/>
        <w:gridCol w:w="2100"/>
      </w:tblGrid>
      <w:tr>
        <w:trPr>
          <w:tblHeader/>
        </w:trPr>
        <w:tc>
          <w:tcPr>
            <w:tcW w:type="dxa" w:w="31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Analysis</w:t>
            </w:r>
          </w:p>
        </w:tc>
        <w:tc>
          <w:tcPr>
            <w:tcW w:type="dxa" w:w="20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No skill</w:t>
            </w:r>
          </w:p>
        </w:tc>
        <w:tc>
          <w:tcPr>
            <w:tcW w:type="dxa" w:w="21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Structure</w:t>
            </w:r>
          </w:p>
        </w:tc>
        <w:tc>
          <w:tcPr>
            <w:tcW w:type="dxa" w:w="21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Full skill</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Q1 clusters (k)</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Q1 silhouette</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Q2 accuracy</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50%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Q3 adj R2</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88%</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Q4 CI lower</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Q4 CI upper</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Q5 correlation</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Q6 PCA PC1 %</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bl>
    <w:p>
      <w:pPr>
        <w:spacing w:after="120" w:before="100" w:line="336"/>
      </w:pPr>
      <w:r>
        <w:rPr>
          <w:rFonts w:ascii="Times New Roman" w:cs="Times New Roman" w:eastAsia="Times New Roman" w:hAnsi="Times New Roman"/>
          <w:color w:val="1F2937"/>
          <w:sz w:val="20"/>
          <w:szCs w:val="20"/>
        </w:rPr>
        <w:t xml:space="preserve">Low agreement means independent reports gave different numbers for that analysis. Q2 (accuracy) and Q3 (body-mass model) diverge without the full skill; the other four do not, because the agents' default already matched the specified method. The full run-level report outputs and judge grades are in results</w:t>
      </w:r>
      <w:r>
        <w:rPr>
          <w:rFonts w:ascii="Times New Roman" w:cs="Times New Roman" w:eastAsia="Times New Roman" w:hAnsi="Times New Roman"/>
          <w:i/>
          <w:iCs/>
          <w:color w:val="1F2937"/>
          <w:sz w:val="20"/>
          <w:szCs w:val="20"/>
        </w:rPr>
        <w:t xml:space="preserve">report.json and results</w:t>
      </w:r>
      <w:r>
        <w:rPr>
          <w:rFonts w:ascii="Times New Roman" w:cs="Times New Roman" w:eastAsia="Times New Roman" w:hAnsi="Times New Roman"/>
          <w:color w:val="1F2937"/>
          <w:sz w:val="20"/>
          <w:szCs w:val="20"/>
        </w:rPr>
        <w:t xml:space="preserve">hard.json in the report_reproducibility folder of the repository (S8).</w:t>
      </w:r>
    </w:p>
    <w:p>
      <w:pPr>
        <w:pStyle w:val="Heading2"/>
      </w:pPr>
      <w:r>
        <w:rPr>
          <w:rFonts w:ascii="Times New Roman" w:cs="Times New Roman" w:eastAsia="Times New Roman" w:hAnsi="Times New Roman"/>
          <w:b/>
          <w:bCs/>
          <w:color w:val="111827"/>
          <w:sz w:val="24"/>
          <w:szCs w:val="24"/>
        </w:rPr>
        <w:t xml:space="preserve">S9.3  Hard report condition prompts (verbatim)</w:t>
      </w:r>
    </w:p>
    <w:p>
      <w:pPr>
        <w:pStyle w:val="Heading3"/>
      </w:pPr>
      <w:r>
        <w:rPr>
          <w:rFonts w:ascii="Times New Roman" w:cs="Times New Roman" w:eastAsia="Times New Roman" w:hAnsi="Times New Roman"/>
          <w:b/>
          <w:bCs/>
          <w:color w:val="111827"/>
          <w:sz w:val="24"/>
          <w:szCs w:val="24"/>
        </w:rPr>
        <w:t xml:space="preserve">C0 no skill</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C1 structure</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penguin-morphometrics-structure ---</w:t>
      </w:r>
    </w:p>
    <w:p>
      <w:pPr>
        <w:shd w:fill="F7F7F8" w:val="clear"/>
        <w:spacing w:after="0" w:line="235"/>
      </w:pPr>
      <w:r>
        <w:rPr>
          <w:rFonts w:ascii="Courier New" w:cs="Courier New" w:eastAsia="Courier New" w:hAnsi="Courier New"/>
          <w:color w:val="1F2937"/>
          <w:sz w:val="15"/>
          <w:szCs w:val="15"/>
        </w:rPr>
        <w:t xml:space="preserve">Write the report with these sections, in order: 1. Title; 2. Data and methods (state how you handled missing values and which method you used for each question); 3. Results, one short subsection per question (Q1 to Q6), each stating the number(s); 4. Conclusion (one paragraph). Use appropriate methods for each question.</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C2 full skill</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penguin-morphometrics-analysis v1.0 ---</w:t>
      </w:r>
    </w:p>
    <w:p>
      <w:pPr>
        <w:shd w:fill="F7F7F8" w:val="clear"/>
        <w:spacing w:after="0" w:line="235"/>
      </w:pPr>
      <w:r>
        <w:rPr>
          <w:rFonts w:ascii="Courier New" w:cs="Courier New" w:eastAsia="Courier New" w:hAnsi="Courier New"/>
          <w:color w:val="1F2937"/>
          <w:sz w:val="15"/>
          <w:szCs w:val="15"/>
        </w:rPr>
        <w:t xml:space="preserve">Write the report with these sections, in order: 1. Title; 2. Data and methods; 3. Results with one subsection per question (Q1 to Q6); 4. Conclusion (one paragraph).</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MISSING DATA: for each analysis, drop rows with any missing value in the columns that analysis uses (listwise deletion). Do not impute.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METHOD FOR EACH QUESTION (use exactly this, do not substitute):</w:t>
      </w:r>
    </w:p>
    <w:p>
      <w:pPr>
        <w:shd w:fill="F7F7F8" w:val="clear"/>
        <w:spacing w:after="0" w:line="235"/>
      </w:pPr>
      <w:r>
        <w:rPr>
          <w:rFonts w:ascii="Courier New" w:cs="Courier New" w:eastAsia="Courier New" w:hAnsi="Courier New"/>
          <w:color w:val="1F2937"/>
          <w:sz w:val="15"/>
          <w:szCs w:val="15"/>
        </w:rPr>
        <w:t xml:space="preserve">  Q1: standardise the four measurements with StandardScaler, then KMeans with n_clusters=3, random_state=42, n_init=10. Report the number of clusters (3) and the silhouette_score on the standardised data. Use k=3 (the three species); do not search for a different k.</w:t>
      </w:r>
    </w:p>
    <w:p>
      <w:pPr>
        <w:shd w:fill="F7F7F8" w:val="clear"/>
        <w:spacing w:after="0" w:line="235"/>
      </w:pPr>
      <w:r>
        <w:rPr>
          <w:rFonts w:ascii="Courier New" w:cs="Courier New" w:eastAsia="Courier New" w:hAnsi="Courier New"/>
          <w:color w:val="1F2937"/>
          <w:sz w:val="15"/>
          <w:szCs w:val="15"/>
        </w:rPr>
        <w:t xml:space="preserve">  Q2: 5-fold cross-validation with cross_val_score(cv=5) of a pipeline of StandardScaler and LogisticRegression(max_iter=2000), predicting species from the four measurements; report the mean cross-validation accuracy. Do not use a single train/test split.</w:t>
      </w:r>
    </w:p>
    <w:p>
      <w:pPr>
        <w:shd w:fill="F7F7F8" w:val="clear"/>
        <w:spacing w:after="0" w:line="235"/>
      </w:pPr>
      <w:r>
        <w:rPr>
          <w:rFonts w:ascii="Courier New" w:cs="Courier New" w:eastAsia="Courier New" w:hAnsi="Courier New"/>
          <w:color w:val="1F2937"/>
          <w:sz w:val="15"/>
          <w:szCs w:val="15"/>
        </w:rPr>
        <w:t xml:space="preserve">  Q3: ordinary least squares linear regression of body_mass_g on bill_length_mm + bill_depth_mm + flipper_length_mm (these three predictors only; no species term, no interactions, no transformation); report the adjusted R-squared.</w:t>
      </w:r>
    </w:p>
    <w:p>
      <w:pPr>
        <w:shd w:fill="F7F7F8" w:val="clear"/>
        <w:spacing w:after="0" w:line="235"/>
      </w:pPr>
      <w:r>
        <w:rPr>
          <w:rFonts w:ascii="Courier New" w:cs="Courier New" w:eastAsia="Courier New" w:hAnsi="Courier New"/>
          <w:color w:val="1F2937"/>
          <w:sz w:val="15"/>
          <w:szCs w:val="15"/>
        </w:rPr>
        <w:t xml:space="preserve">  Q4: a 95% confidence interval for the mean flipper_length_mm using the t method (mean plus and minus t times the standard error). Do not bootstrap.</w:t>
      </w:r>
    </w:p>
    <w:p>
      <w:pPr>
        <w:shd w:fill="F7F7F8" w:val="clear"/>
        <w:spacing w:after="0" w:line="235"/>
      </w:pPr>
      <w:r>
        <w:rPr>
          <w:rFonts w:ascii="Courier New" w:cs="Courier New" w:eastAsia="Courier New" w:hAnsi="Courier New"/>
          <w:color w:val="1F2937"/>
          <w:sz w:val="15"/>
          <w:szCs w:val="15"/>
        </w:rPr>
        <w:t xml:space="preserve">  Q5: the pooled Pearson correlation of bill_length_mm and bill_depth_mm across all rows; report r. Do not compute it within each species and do not use Spearman.</w:t>
      </w:r>
    </w:p>
    <w:p>
      <w:pPr>
        <w:shd w:fill="F7F7F8" w:val="clear"/>
        <w:spacing w:after="0" w:line="235"/>
      </w:pPr>
      <w:r>
        <w:rPr>
          <w:rFonts w:ascii="Courier New" w:cs="Courier New" w:eastAsia="Courier New" w:hAnsi="Courier New"/>
          <w:color w:val="1F2937"/>
          <w:sz w:val="15"/>
          <w:szCs w:val="15"/>
        </w:rPr>
        <w:t xml:space="preserve">  Q6: PCA of the four measurements AFTER standardising them with StandardScaler; report the percent of variance explained by the first component. You must standardise before the PCA.</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Conclusion must state, in plain words: that there are about three clusters matching the species; that species are predictable with high accuracy; that the size measurements explain most of the variation in body mass; that bill length and bill depth are negatively correlated overall; and that the first principal component captures a majority of the variance.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spacing w:after="120" w:line="336"/>
      </w:pPr>
      <w:r>
        <w:rPr>
          <w:rFonts w:ascii="Times New Roman" w:cs="Times New Roman" w:eastAsia="Times New Roman" w:hAnsi="Times New Roman"/>
          <w:color w:val="1F2937"/>
          <w:sz w:val="20"/>
          <w:szCs w:val="20"/>
        </w:rPr>
        <w:t xml:space="preserve">The three standard-report prompts follow the same pattern with four analyses and are in report_reproducibility/prompts of the repository.</w:t>
      </w:r>
    </w:p>
    <w:p>
      <w:r>
        <w:br w:type="page"/>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Supporting Information</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4f365a953ca00993a6621c75e859467b23733e5.png"/><Relationship Id="rId9" Type="http://schemas.openxmlformats.org/officeDocument/2006/relationships/image" Target="media/3bde6dc52ae366e941eb809680e4d5b959d3c407.png"/><Relationship Id="rId10" Type="http://schemas.openxmlformats.org/officeDocument/2006/relationships/image" Target="media/81481fa3cb77c91191775d7bc8896e15cbf1c4b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for AI skills and output reproducibility in ecology</dc:title>
  <dc:creator>Aburto Lab</dc:creator>
  <cp:lastModifiedBy>Un-named</cp:lastModifiedBy>
  <cp:revision>1</cp:revision>
  <dcterms:created xsi:type="dcterms:W3CDTF">2026-07-07T15:12:21.455Z</dcterms:created>
  <dcterms:modified xsi:type="dcterms:W3CDTF">2026-07-07T15:12:21.456Z</dcterms:modified>
</cp:coreProperties>
</file>

<file path=docProps/custom.xml><?xml version="1.0" encoding="utf-8"?>
<Properties xmlns="http://schemas.openxmlformats.org/officeDocument/2006/custom-properties" xmlns:vt="http://schemas.openxmlformats.org/officeDocument/2006/docPropsVTypes"/>
</file>