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59 per cent of runs across all tasks, and in 3 per cent of runs on the five tasks where a choice was genuinely open. A written specification raised these figures to 96 and 90 per cent, and a working script to 75 and 44 per cent. Agreement between runs tracked correctness poorly, since the script made runs agree with one another as often as the specification did, and on one task all ten runs given a script returned the same wrong number, so repeating the analysis, rewriting it in a second language or moving to another company's model would each have confirmed the error.</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and when asked to write code they return different programs for the same request often enough that this has been measured directly (Ouyang et al., 2023), while the wording or layout of a request also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therefore ask three questions, of which the first is how often an analysis described in ordinary words reaches the correct value. The second is whether a written specification changes that, and whether it does so more than supplying a working script. The third is what a shared collection of such specifications would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of which the first gave the model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then went through the same procedure, in which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and the paired difference is also reported with a confidence interval obtained by resampling tasks. The unit of replication is therefore the task, and the number of tasks, not the number of runs, sets the strength of the evidence.</w:t>
      </w:r>
    </w:p>
    <w:p>
      <w:pPr>
        <w:spacing w:after="120" w:line="480"/>
      </w:pPr>
      <w:r>
        <w:rPr>
          <w:rFonts w:ascii="Times New Roman" w:cs="Times New Roman" w:eastAsia="Times New Roman" w:hAnsi="Times New Roman"/>
          <w:color w:val="1F2937"/>
          <w:sz w:val="24"/>
          <w:szCs w:val="24"/>
        </w:rPr>
        <w:t xml:space="preserve">Runs can fail to produce a number for two unrelated reasons, and the two are treated differently. A model may return a script that does not run or prints nothing that can be read, which is a property of the condition and counts as an incorrect answer, since an analysis that does not run has not given the user the right number. A call may also fail because of a network or quota error at the provider, which has nothing to do with the condition. Twenty seven of the 360 calls failed in this second way, spread across conditions at 14, 6 and 7 runs of 120, which is not distinguishable from an even spread (chi-square = 4.56, two degrees of freedom, P = 0.102). All twenty seven were calls to one of the two companies, so excluding them removes runs from one model and not from the other, and three of the thirty six combinations of task and condition are left resting on a single model. The analysis reported below excludes these calls and keeps every other failure as incorrect. Because this choice affects one of the comparisons, results under the two alternatives, namely counting every run and counting only the runs that returned a number, are reported alongside and in full in the Supporting Information.</w:t>
      </w:r>
    </w:p>
    <w:p>
      <w:pPr>
        <w:spacing w:after="120" w:line="480"/>
      </w:pPr>
      <w:r>
        <w:rPr>
          <w:rFonts w:ascii="Times New Roman" w:cs="Times New Roman" w:eastAsia="Times New Roman" w:hAnsi="Times New Roman"/>
          <w:color w:val="1F2937"/>
          <w:sz w:val="24"/>
          <w:szCs w:val="24"/>
        </w:rPr>
        <w:t xml:space="preserve">Whether runs agree with one another was measured separately from whether they are right, since the argument of this paper is that these are different properties. For each task and condition we take the runs that returned a number, group values that fall within the task's own tolerance of each other, and record the size of the largest group and whether the value that group agrees on is the reference. Agreement therefore means close enough to count as the same answer, rather than identical to an arbitrary number of decimal places.</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How often each condition reached the correct value</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59 per cent of runs when averaged across the twelve tasks. A written specification raised this to 96 per cent and a working script to 75 per cent. Across the twelve tasks the specification was ahead of the question alone by 37 percentage points (95 per cent confidence interval 13 to 62, paired Wilcoxon P = 0.031), and ahead of the script by 21 points (7 to 37, P = 0.031). The script was ahead of the question alone by 16 points (1 to 34), and the paired test did not support that difference (P = 0.094). The specification reached a higher proportion than the script on six tasks and a lower proportion on none, with the remaining six tied. Results for every task and condition separately are given in Supporting Information Table S2.</w:t>
      </w:r>
    </w:p>
    <w:p>
      <w:pPr>
        <w:spacing w:after="120" w:line="480"/>
      </w:pPr>
      <w:r>
        <w:rPr>
          <w:rFonts w:ascii="Times New Roman" w:cs="Times New Roman" w:eastAsia="Times New Roman" w:hAnsi="Times New Roman"/>
          <w:color w:val="1F2937"/>
          <w:sz w:val="24"/>
          <w:szCs w:val="24"/>
        </w:rPr>
        <w:t xml:space="preserve">Seven of the twelve tasks were answered correctly in at least nine of ten runs without any instruction (Fig. 1). On the remaining five the question by itself reached the correct value in 3 per cent of runs, the specification in 90 per cent and the script in 44 per cent. With five tasks a paired test cannot return a value below 0.0625, and that value was obtained for the specification against both other conditions, so every one of the five favoured the specification.</w:t>
      </w:r>
    </w:p>
    <w:p>
      <w:pPr>
        <w:spacing w:after="120" w:line="480"/>
      </w:pPr>
      <w:r>
        <w:rPr>
          <w:rFonts w:ascii="Times New Roman" w:cs="Times New Roman" w:eastAsia="Times New Roman" w:hAnsi="Times New Roman"/>
          <w:color w:val="1F2937"/>
          <w:sz w:val="24"/>
          <w:szCs w:val="24"/>
        </w:rPr>
        <w:t xml:space="preserve">The comparison between the specification and the script depends on how failed runs are counted. The specification is ahead of the script whether every run is counted (90 against 72 per cent, P = 0.031) or calls that failed at the provider are excluded, as above. Among only those runs that returned a number at all the two are not distinguishable (96 against 85 per cent, P = 0.500). Ten of the runs given a script returned code that did not run or printed nothing that could be read, against none of the runs given a specification, and five of those ten were on a single task.</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Each line follows one task across the three conditions, which is how the tasks were compared, since the comparison is made within a task and not between tasks. The vertical position is the proportion of that task's runs that reached the reference value, out of the ten attempted less any calls that failed at the provider.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Accuracy without an instruction differed by the kind of open choice, at 67 per cent for the sampling unit, 97 per cent for the scope of an estimate, 67 per cent for missing records and 6 per cent where a model had to be fitted. With a specification the same four kinds reached 100, 100, 83 and 100 per cent, and with a script 73, 93, 67 and 67 per cent.</w:t>
      </w:r>
    </w:p>
    <w:p>
      <w:pPr>
        <w:pStyle w:val="Heading2"/>
      </w:pPr>
      <w:r>
        <w:rPr>
          <w:rFonts w:ascii="Times New Roman" w:cs="Times New Roman" w:eastAsia="Times New Roman" w:hAnsi="Times New Roman"/>
          <w:b/>
          <w:bCs/>
          <w:color w:val="111827"/>
          <w:sz w:val="24"/>
          <w:szCs w:val="24"/>
        </w:rPr>
        <w:t xml:space="preserve">3.2  Agreement between runs, measured separately from correctness</w:t>
      </w:r>
    </w:p>
    <w:p>
      <w:pPr>
        <w:spacing w:after="120" w:line="480"/>
      </w:pPr>
      <w:r>
        <w:rPr>
          <w:rFonts w:ascii="Times New Roman" w:cs="Times New Roman" w:eastAsia="Times New Roman" w:hAnsi="Times New Roman"/>
          <w:color w:val="1F2937"/>
          <w:sz w:val="24"/>
          <w:szCs w:val="24"/>
        </w:rPr>
        <w:t xml:space="preserve">Counting a task as showing agreement when at least four fifths of the runs that returned a number fell within its tolerance of one value, the question alone produced agreement on eight of the twelve tasks, the script on eleven and the specification on eleven. The value agreed on was not the reference on one of those tasks under the question alone, on one under the script, and on none under the specification.</w:t>
      </w:r>
    </w:p>
    <w:p>
      <w:pPr>
        <w:spacing w:after="120" w:line="480"/>
      </w:pPr>
      <w:r>
        <w:rPr>
          <w:rFonts w:ascii="Times New Roman" w:cs="Times New Roman" w:eastAsia="Times New Roman" w:hAnsi="Times New Roman"/>
          <w:color w:val="1F2937"/>
          <w:sz w:val="24"/>
          <w:szCs w:val="24"/>
        </w:rPr>
        <w:t xml:space="preserve">On the task that asks for the mean number of rodents caught in a plot in a year, counting the plot-years in which nothing was caught, the reference is 54.883. Every one of the ten runs given a working script returned 55.326, which is the reference value of another task in this study, the one that asks for the mean catch per plot and year without the instruction about empty plot-years (Table 1), matched to seven decimal places, with several runs returning it digit for digit and the rest differing only in how many digits they printed. Given the question alone, all five runs that returned a number returned that same value, and those five came from one of the two models, the calls to the other model on that combination of task and condition having failed at the provider. With a specification, five of the ten runs reached the reference.</w:t>
      </w:r>
    </w:p>
    <w:p>
      <w:pPr>
        <w:spacing w:after="120" w:line="480"/>
      </w:pPr>
      <w:r>
        <w:rPr>
          <w:rFonts w:ascii="Times New Roman" w:cs="Times New Roman" w:eastAsia="Times New Roman" w:hAnsi="Times New Roman"/>
          <w:color w:val="1F2937"/>
          <w:sz w:val="24"/>
          <w:szCs w:val="24"/>
        </w:rPr>
        <w:t xml:space="preserve">Two further tasks show the same pattern. Six of nine runs given the question alone returned 0.9667 for the accuracy of an iris classifier, against a reference of 0.9333, and on the reef-fish task three of six runs returned 3.295 against a reference of 3.464. On the penguin sex model the runs given the question alone returned nine different values in ten runs (Fig. 2).</w:t>
      </w:r>
    </w:p>
    <w:p>
      <w:pPr>
        <w:spacing w:after="80" w:before="120"/>
        <w:jc w:val="center"/>
      </w:pPr>
      <w:r>
        <w:drawing>
          <wp:inline distT="0" distB="0" distL="0" distR="0">
            <wp:extent cx="6172200" cy="3581400"/>
            <wp:effectExtent t="0" r="0" b="0" l="0"/>
            <wp:docPr id="1" name="What the runs actually returned" descr="What the runs actually returned" title="What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581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The numbers returned by individual runs, for the five tasks where the question alone did not reach the reference. Each panel shows all three conditions. The dashed green line is the reference value. Counts give how many of the runs that returned a number agreed on one value, within that task's tolerance, and are printed in green where the agreed value is the reference. Each panel keeps its own scale, since the errors of interest are a few per cent from the reference. Runs that returned a number far outside the plotted range are counted in the corner rather than drawn, because including them would compress the rest of the panel to a point.</w:t>
      </w:r>
    </w:p>
    <w:p>
      <w:pPr>
        <w:pStyle w:val="Heading2"/>
      </w:pPr>
      <w:r>
        <w:rPr>
          <w:rFonts w:ascii="Times New Roman" w:cs="Times New Roman" w:eastAsia="Times New Roman" w:hAnsi="Times New Roman"/>
          <w:b/>
          <w:bCs/>
          <w:color w:val="111827"/>
          <w:sz w:val="24"/>
          <w:szCs w:val="24"/>
        </w:rPr>
        <w:t xml:space="preserve">3.3  Both companies' models, and a change in how the data are presented</w:t>
      </w:r>
    </w:p>
    <w:p>
      <w:pPr>
        <w:spacing w:after="120" w:line="480"/>
      </w:pPr>
      <w:r>
        <w:rPr>
          <w:rFonts w:ascii="Times New Roman" w:cs="Times New Roman" w:eastAsia="Times New Roman" w:hAnsi="Times New Roman"/>
          <w:color w:val="1F2937"/>
          <w:sz w:val="24"/>
          <w:szCs w:val="24"/>
        </w:rPr>
        <w:t xml:space="preserve">Both companies' models showed the same ordering from different starting points. Given the question alone one reached 57 per cent and the other 73 per cent, and with a specification they reached 100 and 91 per cent. Against the script the figures were 100 against 67 per cent for the first and 91 against 85 per cent for the second.</w:t>
      </w:r>
    </w:p>
    <w:p>
      <w:pPr>
        <w:spacing w:after="120" w:line="480"/>
      </w:pPr>
      <w:r>
        <w:rPr>
          <w:rFonts w:ascii="Times New Roman" w:cs="Times New Roman" w:eastAsia="Times New Roman" w:hAnsi="Times New Roman"/>
          <w:color w:val="1F2937"/>
          <w:sz w:val="24"/>
          <w:szCs w:val="24"/>
        </w:rPr>
        <w:t xml:space="preserve">A further set of runs, on one task and reported without a test, asked how far a specification carries when the same data are presented differently. After renaming every column and changing the code used for a missing value, the specification reached the reference in 92 per cent of runs and the script in 75 per cent. After rearranging the same records into a long format, with one row per measurement rather than one row per observation, neither reached the reference in any run.</w:t>
      </w:r>
    </w:p>
    <w:p>
      <w:pPr>
        <w:pStyle w:val="Heading2"/>
      </w:pPr>
      <w:r>
        <w:rPr>
          <w:rFonts w:ascii="Times New Roman" w:cs="Times New Roman" w:eastAsia="Times New Roman" w:hAnsi="Times New Roman"/>
          <w:b/>
          <w:bCs/>
          <w:color w:val="111827"/>
          <w:sz w:val="24"/>
          <w:szCs w:val="24"/>
        </w:rPr>
        <w:t xml:space="preserve">3.4  Language, choice of model, and asking for a report</w:t>
      </w:r>
    </w:p>
    <w:p>
      <w:pPr>
        <w:spacing w:after="120" w:line="480"/>
      </w:pPr>
      <w:r>
        <w:rPr>
          <w:rFonts w:ascii="Times New Roman" w:cs="Times New Roman" w:eastAsia="Times New Roman" w:hAnsi="Times New Roman"/>
          <w:color w:val="1F2937"/>
          <w:sz w:val="24"/>
          <w:szCs w:val="24"/>
        </w:rPr>
        <w:t xml:space="preserve">On the reef-fish task every one of the ten runs written in Python without a specification returned 3.29521, and every one of the ten runs written in R without a specification returned the same value to six decimal places, against a reference of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On the task that fits a classifier, a full specification made the runs within each language identical, and the two languages then returned different values, 0.8806 in Python and 0.8657 in R.</w:t>
      </w:r>
    </w:p>
    <w:p>
      <w:pPr>
        <w:spacing w:after="120" w:line="480"/>
      </w:pPr>
      <w:r>
        <w:rPr>
          <w:rFonts w:ascii="Times New Roman" w:cs="Times New Roman" w:eastAsia="Times New Roman" w:hAnsi="Times New Roman"/>
          <w:color w:val="1F2937"/>
          <w:sz w:val="24"/>
          <w:szCs w:val="24"/>
        </w:rPr>
        <w:t xml:space="preserve">The reef-fish task was also run six times on each of five models from three companies. Given the question alone, two of the five returned 3.2952 in every run, two returned 33.776 in every run, and one returned the reference in every run. With the full specification, four of the five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stated were the same in every run and in every condition, each naming the same species as the heaviest and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4  Discussion</w:t>
      </w:r>
    </w:p>
    <w:p>
      <w:pPr>
        <w:pStyle w:val="Heading2"/>
      </w:pPr>
      <w:r>
        <w:rPr>
          <w:rFonts w:ascii="Times New Roman" w:cs="Times New Roman" w:eastAsia="Times New Roman" w:hAnsi="Times New Roman"/>
          <w:b/>
          <w:bCs/>
          <w:color w:val="111827"/>
          <w:sz w:val="24"/>
          <w:szCs w:val="24"/>
        </w:rPr>
        <w:t xml:space="preserve">4.1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in a fixed environment is the established recommendation for making an analysis repeatable (Sandve et al., 2013), and ecology has spent a decade arguing that code deserves the same standing as data (Mislan et al., 2016; Culina et al., 2020; Cooper and the BES Data and Code Hackathon Group, 2026). Nothing here argues against that, and what the results show is that code delivers reproducibility more readily than it delivers the right answer, which is consistent with the finding that published code often fails to regenerate the published result even when it is available and runs (Kambouris et al., 2024).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w:t>
      </w:r>
    </w:p>
    <w:p>
      <w:pPr>
        <w:spacing w:after="120" w:line="480"/>
      </w:pPr>
      <w:r>
        <w:rPr>
          <w:rFonts w:ascii="Times New Roman" w:cs="Times New Roman" w:eastAsia="Times New Roman" w:hAnsi="Times New Roman"/>
          <w:color w:val="1F2937"/>
          <w:sz w:val="24"/>
          <w:szCs w:val="24"/>
        </w:rPr>
        <w:t xml:space="preserve">The advantage of the specification over the script has two parts, and they should be kept separate because the evidence for them differs. The first is that the specification produced code that ran. Ten runs given a script returned something that could not be executed or read, against none given a specification, and an analysis that does not run has not answered the question. The second is that among runs which did return a number the specification was still ahead, by 96 per cent against 85, although with twelve tasks that difference is not supported by a paired test. The practical advice therefore rests more firmly on the first part than on the second, and a larger set of tasks would be needed to settle the second.</w:t>
      </w:r>
    </w:p>
    <w:p>
      <w:pPr>
        <w:spacing w:after="120" w:line="480"/>
      </w:pPr>
      <w:r>
        <w:rPr>
          <w:rFonts w:ascii="Times New Roman" w:cs="Times New Roman" w:eastAsia="Times New Roman" w:hAnsi="Times New Roman"/>
          <w:color w:val="1F2937"/>
          <w:sz w:val="24"/>
          <w:szCs w:val="24"/>
        </w:rPr>
        <w:t xml:space="preserve">Ecology has met a version of this problem before and answered it in the same way. Simulation modellers found that releasing code did not allow others to understand or rebuild a model, and adopted a written protocol that states the design, the entities and the assumptions in ordinary prose, with the code supplied separately (Grimm et al., 2020). The same reasoning produced a reporting protocol for species distribution models (Zurell et al., 2020) and one for evidence synthesis in ecology and evolution (O'Dea et al., 2021), and it underlies the broader argument that transparency about analytical choices is what makes a study checkable (Parker et al., 2016). What the present study adds is a measurement of the same effect when the reader of the method is a machine rather than a person, and the margin is large enough to matter. The two remain complements, in that a specification states what the quantity is, a script demonstrates that it can be computed, and independent execution of that script catches a class of problem that neither addresses on its own (Nüst and Eglen, 2021).</w:t>
      </w:r>
    </w:p>
    <w:p>
      <w:pPr>
        <w:pStyle w:val="Heading2"/>
      </w:pPr>
      <w:r>
        <w:rPr>
          <w:rFonts w:ascii="Times New Roman" w:cs="Times New Roman" w:eastAsia="Times New Roman" w:hAnsi="Times New Roman"/>
          <w:b/>
          <w:bCs/>
          <w:color w:val="111827"/>
          <w:sz w:val="24"/>
          <w:szCs w:val="24"/>
        </w:rPr>
        <w:t xml:space="preserve">4.2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agreement between runs told you almost nothing about whether they were right. Measured across all twelve tasks, the script produced agreement as often as the specification did, on eleven tasks against eleven, while reaching the correct value far less often. The sharpest instance is the task asking how many rodents were caught in a plot in a year, where all ten runs given a working script returned the same number and none of them was the reference. What they returned was not noise but the reference value of a neighbouring task, so those ten runs computed a quantity exactly right and answered a question nobody had asked. That is reproducibility without validity in its purest form, and it was produced by the practice most often recommended for obtaining reproducibility. It also shows why inspecting the output cannot substitute for stating the quantity, since a number that is correct for some question will look correct for the question in front of you. The two properties are easily conflated (Goodman et al., 2016; Gundersen, 2021), and the checks available to a working ecologist test mostly the first of them. This also inverts what the variability literature leads users to expect, since the measured instability of these models across repeated calls (Ouyang et al., 2023) suggests that disagreement is the thing to watch for. The penguin sex model, where ten runs returned nine different values, is a failure of the same kind as the rodent task in that neither returned the quantity the question intended, but it is the one an ecologist would catch, because scatter announces itself and consensus does not.</w:t>
      </w:r>
    </w:p>
    <w:p>
      <w:pPr>
        <w:spacing w:after="120" w:line="480"/>
      </w:pPr>
      <w:r>
        <w:rPr>
          <w:rFonts w:ascii="Times New Roman" w:cs="Times New Roman" w:eastAsia="Times New Roman" w:hAnsi="Times New Roman"/>
          <w:color w:val="1F2937"/>
          <w:sz w:val="24"/>
          <w:szCs w:val="24"/>
        </w:rPr>
        <w:t xml:space="preserve">The wrong values were not absurd either, since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Errors of this size pass review because nothing about them looks wrong, and the history of computational science supplies the pattern. A spreadsheet that silently converted gene names to dates corrupted the supplementary files of roughly a fifth of the genomics papers examined by Ziemann et al. (2016), and a program that transposed two columns produced protein structures that were published, cited and then retracted five times over (Miller, 2006). What the present results add is that a tool which writes the analysis on request can produce errors of this kind on demand, and can produce the same one repeatedly.</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and the two wrong values differed from one another by an order of magnitude, so those models were not disagreeing about precision but computing different quantities and holding to them. A researcher comparing two of them could have found agreement, disagreement, or agreement on a wrong number, according to which two were compared. This is the behaviour anticipated by work on algorithmic monoculture, in which reliance on a small number of systems trained in similar ways causes their errors to coincide rather than to cancel (Kleinberg and Raghavan, 2021). Consulting a second tool is therefore not the independent check it appears to be, and the assumption that it is deserves to be stated and tested rather than relied on.</w:t>
      </w:r>
    </w:p>
    <w:p>
      <w:pPr>
        <w:spacing w:after="120" w:line="480"/>
      </w:pPr>
      <w:r>
        <w:rPr>
          <w:rFonts w:ascii="Times New Roman" w:cs="Times New Roman" w:eastAsia="Times New Roman" w:hAnsi="Times New Roman"/>
          <w:color w:val="1F2937"/>
          <w:sz w:val="24"/>
          <w:szCs w:val="24"/>
        </w:rPr>
        <w:t xml:space="preserve">Asking for a written report rather than a number showed the sharpest form of the problem, because the conclusions the reports drew were identical in every condition while the numbers behind them were not. The part of an analysis that a reader sees was the part that did not vary. Messeri and Crockett (2024) argue that these tools can generate an illusion of understanding, in which the appearance of a complete and coherent account runs ahead of what has actually been established, and a set of reports agreeing on every conclusion while disagreeing on a quarter of their numbers is a concrete instance of it. A reader has no way of detecting this from the reports alone, which is an argument for keeping the specification and the checks alongside the account rather than treating the account as the product.</w:t>
      </w:r>
    </w:p>
    <w:p>
      <w:pPr>
        <w:pStyle w:val="Heading2"/>
      </w:pPr>
      <w:r>
        <w:rPr>
          <w:rFonts w:ascii="Times New Roman" w:cs="Times New Roman" w:eastAsia="Times New Roman" w:hAnsi="Times New Roman"/>
          <w:b/>
          <w:bCs/>
          <w:color w:val="111827"/>
          <w:sz w:val="24"/>
          <w:szCs w:val="24"/>
        </w:rPr>
        <w:t xml:space="preserve">4.3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which is the same place the many-analyst studies find human teams diverging from one another (Silberzahn et al., 2018; Botvinik-Nezer et al., 2020; Breznau et al., 2022; Gould et al., 2025). The four kinds of open choice separate cleanly on this point. Where the question concerned the scope of an estimate the models were already right without help, because the pooled reading the specification asked for is the one they adopted unprompted, whereas where a model had to be fitted they almost never were, because the split of the data, the seed and the scaling were left free and each run settled them differently. That correspondence is useful, because it means the existing catalogues of consequential choices, whether assembled as checklists for analysts (Wicherts et al., 2016) or as the reporting items of a discipline's protocols (Zurell et al., 2020; O'Dea et al., 2021), already indicate where a specification will earn its keep.</w:t>
      </w:r>
    </w:p>
    <w:p>
      <w:pPr>
        <w:spacing w:after="120" w:line="480"/>
      </w:pPr>
      <w:r>
        <w:rPr>
          <w:rFonts w:ascii="Times New Roman" w:cs="Times New Roman" w:eastAsia="Times New Roman" w:hAnsi="Times New Roman"/>
          <w:color w:val="1F2937"/>
          <w:sz w:val="24"/>
          <w:szCs w:val="24"/>
        </w:rPr>
        <w:t xml:space="preserve">The practical advice that follows is not to specify everything. It is to run an analysis without a specification first, see where repeated runs disagree or where the value differs from an independently computed one, and write the specification against what is found. The four kinds of open choice used here are a workable starting list for that search, and the tasks where instruction changed nothing are as much a part of the result as the tasks where it changed everything.</w:t>
      </w:r>
    </w:p>
    <w:p>
      <w:pPr>
        <w:pStyle w:val="Heading2"/>
      </w:pPr>
      <w:r>
        <w:rPr>
          <w:rFonts w:ascii="Times New Roman" w:cs="Times New Roman" w:eastAsia="Times New Roman" w:hAnsi="Times New Roman"/>
          <w:b/>
          <w:bCs/>
          <w:color w:val="111827"/>
          <w:sz w:val="24"/>
          <w:szCs w:val="24"/>
        </w:rPr>
        <w:t xml:space="preserve">4.4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of which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 This is a narrower demand than it may appear, and it has a direct precedent in the checklists of researcher degrees of freedom compiled for the human analyst, which likewise sort the many choices available into the few that change the answer and the many that do not (Wicherts et al., 2016).</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(Goodman et al., 2016; Gundersen, 2021). This does not mean that every choice should be frozen. Where several readings of a question are defensible, laying them out and reporting the answer under each is the more informative response (Steegen et al., 2016), and a specification is then the record of which reading was taken rather than a claim that the others are wrong.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This is an old result in a new setting, since independent teams implementing one written specification in scientific software were found to diverge from one another by amounts far larger than the authors expected (Hatton and Roberts, 1994).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4.5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 The third of these already exists in a workable form, in the practice of having a named person execute the computations behind a paper before it is published and record what they obtained (Nüst and Eglen, 2021), and the argument here is that a shared collection of specifications should be held to the same standard rather than to a lower one.</w:t>
      </w:r>
    </w:p>
    <w:p>
      <w:pPr>
        <w:pStyle w:val="Heading2"/>
      </w:pPr>
      <w:r>
        <w:rPr>
          <w:rFonts w:ascii="Times New Roman" w:cs="Times New Roman" w:eastAsia="Times New Roman" w:hAnsi="Times New Roman"/>
          <w:b/>
          <w:bCs/>
          <w:color w:val="111827"/>
          <w:sz w:val="24"/>
          <w:szCs w:val="24"/>
        </w:rPr>
        <w:t xml:space="preserve">4.6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Because seven tasks were answered correctly under every condition, the paired tests rest on the six tasks that differ, and the smallest value such a test can return is not far below the values reported. The comparison between the specification and the script also depends on counting runs whose code did not execute, which is stated in the results with the alternatives. For the script against no instruction at all the interval excludes zero while the paired test does not support the difference, because the two use the data differently, the interval resting on the sizes of the twelve differences and the rank test on their signs and order, and with six tasks tied neither has much to work with; we therefore treat that comparison as unsettled and rest nothing on it. Every call that failed at the provider was a call to one of the two companies, so excluding those calls removes runs from one model and not from the other, and three of the thirty six combinations of task and condition are left resting on a single model, one of which is the case where five runs given the question alone agreed on a wrong value.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4.7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and where the first measurements of consistency across longer sequences of tool calls suggest the problem is worse rather than better (Yagubyan, 2026). A second is to widen the range of models, including the smaller ones a research group might run on its own hardware, since the argument about correlated errors between systems bears directly on how much protection a second opinion offers. A third is to test whether specifications written by one group are used correctly by another, which is the property a shared collection depends on and which the present design does not measure. A fourth is to move from tasks with a single number to the assistants now being built for ecological data (Gallois et al., 2025), where the same questions about what has been fixed and what has been left open apply to a whole session rather than to one request.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5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Hatton, L., &amp; Roberts, A. (1994). How accurate is scientific software? IEEE Transactions on Software Engineering, 20(10), 785–797. https://doi.org/10.1109/32.328993</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Kleinberg, J., &amp; Raghavan, M. (2021). Algorithmic monoculture and social welfare. Proceedings of the National Academy of Sciences, 118(22), e2018340118. https://doi.org/10.1073/pnas.2018340118</w:t>
      </w:r>
    </w:p>
    <w:p>
      <w:pPr>
        <w:spacing w:after="100" w:line="480"/>
        <w:ind w:left="360" w:hanging="360"/>
      </w:pPr>
      <w:r>
        <w:rPr>
          <w:rFonts w:ascii="Times New Roman" w:cs="Times New Roman" w:eastAsia="Times New Roman" w:hAnsi="Times New Roman"/>
          <w:color w:val="1F2937"/>
          <w:sz w:val="24"/>
          <w:szCs w:val="24"/>
        </w:rPr>
        <w:t xml:space="preserve">Messeri, L., &amp; Crockett, M. J. (2024). Artificial intelligence and illusions of understanding in scientific research. Nature, 627, 49–58. https://doi.org/10.1038/s41586-024-07146-0</w:t>
      </w:r>
    </w:p>
    <w:p>
      <w:pPr>
        <w:spacing w:after="100" w:line="480"/>
        <w:ind w:left="360" w:hanging="360"/>
      </w:pPr>
      <w:r>
        <w:rPr>
          <w:rFonts w:ascii="Times New Roman" w:cs="Times New Roman" w:eastAsia="Times New Roman" w:hAnsi="Times New Roman"/>
          <w:color w:val="1F2937"/>
          <w:sz w:val="24"/>
          <w:szCs w:val="24"/>
        </w:rPr>
        <w:t xml:space="preserve">Miller, G. (2006). A scientist's nightmare: software problem leads to five retractions. Science, 314(5807), 1856–1857. https://doi.org/10.1126/science.314.5807.1856</w:t>
      </w:r>
    </w:p>
    <w:p>
      <w:pPr>
        <w:spacing w:after="100" w:line="480"/>
        <w:ind w:left="360" w:hanging="360"/>
      </w:pPr>
      <w:r>
        <w:rPr>
          <w:rFonts w:ascii="Times New Roman" w:cs="Times New Roman" w:eastAsia="Times New Roman" w:hAnsi="Times New Roman"/>
          <w:color w:val="1F2937"/>
          <w:sz w:val="24"/>
          <w:szCs w:val="24"/>
        </w:rPr>
        <w:t xml:space="preserve">Mislan, K. A. S., Heer, J. M., &amp; White, E. P. (2016). Elevating the status of code in ecology. Trends in Ecology &amp; Evolution, 31(1), 4–7. https://doi.org/10.1016/j.tree.2015.11.006</w:t>
      </w:r>
    </w:p>
    <w:p>
      <w:pPr>
        <w:spacing w:after="100" w:line="480"/>
        <w:ind w:left="360" w:hanging="360"/>
      </w:pPr>
      <w:r>
        <w:rPr>
          <w:rFonts w:ascii="Times New Roman" w:cs="Times New Roman" w:eastAsia="Times New Roman" w:hAnsi="Times New Roman"/>
          <w:color w:val="1F2937"/>
          <w:sz w:val="24"/>
          <w:szCs w:val="24"/>
        </w:rPr>
        <w:t xml:space="preserve">Nüst, D., &amp; Eglen, S. J. (2021). CODECHECK: an open science initiative for the independent execution of computations underlying research articles during peer review to improve reproducibility. F1000Research, 10, 253. https://doi.org/10.12688/f1000research.51738.2</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Ouyang, S., Zhang, J. M., Harman, M., &amp; Wang, M. (2023). LLM is like a box of chocolates: the non-determinism of ChatGPT in code generation. arXiv:2308.02828.</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Sandve, G. K., Nekrutenko, A., Taylor, J., &amp; Hovig, E. (2013). Ten simple rules for reproducible computational research. PLOS Computational Biology, 9(10), e1003285. https://doi.org/10.1371/journal.pcbi.1003285</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Wicherts, J. M., Veldkamp, C. L. S., Augusteijn, H. E. M., Bakker, M., van Aert, R. C. M., &amp; van Assen, M. A. L. M. (2016). Degrees of freedom in planning, running, analyzing, and reporting psychological studies: a checklist to avoid p-hacking. Frontiers in Psychology, 7, 1832. https://doi.org/10.3389/fpsyg.2016.01832</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Ziemann, M., Eren, Y., &amp; El-Osta, A. (2016). Gene name errors are widespread in the scientific literature. Genome Biology, 17, 177. https://doi.org/10.1186/s13059-016-1044-7</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29bf9b03172145c8a8e8bf51e1d6cba944c43e.png"/><Relationship Id="rId9" Type="http://schemas.openxmlformats.org/officeDocument/2006/relationships/image" Target="media/5169a59bf89ed11bee9d408abe44184e85e4906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2026-07-23T07:46:14.349Z</dcterms:created>
  <dcterms:modified xsi:type="dcterms:W3CDTF">2026-07-23T07:46:14.350Z</dcterms:modified>
</cp:coreProperties>
</file>

<file path=docProps/custom.xml><?xml version="1.0" encoding="utf-8"?>
<Properties xmlns="http://schemas.openxmlformats.org/officeDocument/2006/custom-properties" xmlns:vt="http://schemas.openxmlformats.org/officeDocument/2006/docPropsVTypes"/>
</file>