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including the sensitivity of one comparison to how failed runs are counted; and the scripts that draw both figures and build the Supporting Information, which is generated from the archived records so that it cannot fall out of step with the analysis.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2026-07-23T07:46:14.588Z</dcterms:created>
  <dcterms:modified xsi:type="dcterms:W3CDTF">2026-07-23T07:46:14.588Z</dcterms:modified>
</cp:coreProperties>
</file>

<file path=docProps/custom.xml><?xml version="1.0" encoding="utf-8"?>
<Properties xmlns="http://schemas.openxmlformats.org/officeDocument/2006/custom-properties" xmlns:vt="http://schemas.openxmlformats.org/officeDocument/2006/docPropsVTypes"/>
</file>