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read, at the time the document is built, from the summary that main_study/analyze.py writes when it analyses the archived run records. No quantity is recomputed here, so this document cannot disagree with the analysis or with the manuscript.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This is the table referred to from section 3.1 of the manuscript. It gives, for every task under every condition, the proportion of runs reaching the reference, the number of runs that returned no number and why, and the agreement between the runs that did. Calls that failed at the provider are excluded from the percentages, as in the manuscript, and are listed separately here so that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 This value is the reference for the neighbouring task that asks the same question without the instruction about empty plot-years, matched to seven decimal places.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 Every value in this table is computed when the document is built.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Calls that failed at the provider numbered 14 runs of 120 for the question alone, 6 for the script and 7 for the specification. That spread is not distinguishable from an even one (chi-square = 4.56, two degrees of freedom, P = 0.102), which is why they are excluded from the primary analysis rather than counted as wrong answers. All of them were calls to one of the two companies, so the exclusion removes runs from one model and not from the other, and three of the thirty six combinations of task and condition are left resting on a single model, namely M3_portal_implicit_zeros with the question alone; R3_portal_species_clf with a script; R3_portal_species_clf with a specification. Runs that returned code which could not be executed or read numbered 3, 10 and 0 respectively, and these are counted as incorrect throughout, since an analysis that does not run has not answered the question.</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Anonymous</dc:creator>
  <cp:lastModifiedBy>Un-named</cp:lastModifiedBy>
  <cp:revision>1</cp:revision>
  <dcterms:created xsi:type="dcterms:W3CDTF">2026-07-24T08:31:54.184Z</dcterms:created>
  <dcterms:modified xsi:type="dcterms:W3CDTF">2026-07-24T08:31:54.185Z</dcterms:modified>
</cp:coreProperties>
</file>

<file path=docProps/custom.xml><?xml version="1.0" encoding="utf-8"?>
<Properties xmlns="http://schemas.openxmlformats.org/officeDocument/2006/custom-properties" xmlns:vt="http://schemas.openxmlformats.org/officeDocument/2006/docPropsVTypes"/>
</file>