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Skills as the new packages: an evidence-based standard for good AI analysis skills and a curated repository for ecology</w:t>
      </w:r>
    </w:p>
    <w:p>
      <w:pPr>
        <w:spacing w:after="40" w:line="336"/>
      </w:pPr>
      <w:r>
        <w:rPr>
          <w:rFonts w:ascii="Times New Roman" w:cs="Times New Roman" w:eastAsia="Times New Roman" w:hAnsi="Times New Roman"/>
          <w:color w:val="1F2937"/>
          <w:sz w:val="24"/>
          <w:szCs w:val="24"/>
        </w:rPr>
        <w:t xml:space="preserve">Fabio Favoretto¹*, Alberto Rivera², Eduardo León Solorzano³</w:t>
      </w:r>
    </w:p>
    <w:p>
      <w:pPr>
        <w:spacing w:after="20" w:line="336"/>
      </w:pPr>
      <w:r>
        <w:rPr>
          <w:rFonts w:ascii="Times New Roman" w:cs="Times New Roman" w:eastAsia="Times New Roman" w:hAnsi="Times New Roman"/>
          <w:color w:val="1F2937"/>
          <w:sz w:val="20"/>
          <w:szCs w:val="20"/>
        </w:rPr>
        <w:t xml:space="preserve">¹ School of Biological and Marine Science, University of Plymouth, Plymouth, UK</w:t>
      </w:r>
    </w:p>
    <w:p>
      <w:pPr>
        <w:spacing w:after="20" w:line="336"/>
      </w:pPr>
      <w:r>
        <w:rPr>
          <w:rFonts w:ascii="Times New Roman" w:cs="Times New Roman" w:eastAsia="Times New Roman" w:hAnsi="Times New Roman"/>
          <w:color w:val="1F2937"/>
          <w:sz w:val="20"/>
          <w:szCs w:val="20"/>
        </w:rPr>
        <w:t xml:space="preserve">² Scripps Institution of Oceanography, University of California San Diego, La Jolla, CA, USA</w:t>
      </w:r>
    </w:p>
    <w:p>
      <w:pPr>
        <w:spacing w:after="20" w:line="336"/>
      </w:pPr>
      <w:r>
        <w:rPr>
          <w:rFonts w:ascii="Times New Roman" w:cs="Times New Roman" w:eastAsia="Times New Roman" w:hAnsi="Times New Roman"/>
          <w:color w:val="1F2937"/>
          <w:sz w:val="20"/>
          <w:szCs w:val="20"/>
        </w:rPr>
        <w:t xml:space="preserve">³ Centro para la Biodiversidad Marina y la Conservación, A.C., La Paz, BCS, Mexico</w:t>
      </w:r>
    </w:p>
    <w:p>
      <w:pPr>
        <w:spacing w:after="40" w:line="336"/>
      </w:pPr>
      <w:r>
        <w:rPr>
          <w:rFonts w:ascii="Times New Roman" w:cs="Times New Roman" w:eastAsia="Times New Roman" w:hAnsi="Times New Roman"/>
          <w:color w:val="1F2937"/>
          <w:sz w:val="20"/>
          <w:szCs w:val="20"/>
        </w:rPr>
        <w:t xml:space="preserve">* Corresponding author: fabio.favoretto@plymouth.ac.uk</w:t>
      </w:r>
    </w:p>
    <w:p>
      <w:pPr>
        <w:spacing w:after="120" w:line="336"/>
      </w:pPr>
      <w:r>
        <w:rPr>
          <w:rFonts w:ascii="Times New Roman" w:cs="Times New Roman" w:eastAsia="Times New Roman" w:hAnsi="Times New Roman"/>
          <w:color w:val="1F2937"/>
          <w:sz w:val="20"/>
          <w:szCs w:val="20"/>
        </w:rPr>
        <w:t xml:space="preserve">Article type: Research Article. Target journal: Methods in Ecology and Evolution.</w:t>
      </w:r>
    </w:p>
    <w:p>
      <w:pPr>
        <w:pBdr>
          <w:bottom w:val="single" w:color="0F766E" w:sz="6" w:space="1"/>
        </w:pBdr>
        <w:spacing w:after="160" w:before="160"/>
      </w:pPr>
    </w:p>
    <w:p>
      <w:pPr>
        <w:pStyle w:val="Heading1"/>
      </w:pPr>
      <w:r>
        <w:rPr>
          <w:rFonts w:ascii="Times New Roman" w:cs="Times New Roman" w:eastAsia="Times New Roman" w:hAnsi="Times New Roman"/>
          <w:b/>
          <w:bCs/>
          <w:color w:val="111827"/>
          <w:sz w:val="24"/>
          <w:szCs w:val="24"/>
        </w:rPr>
        <w:t xml:space="preserve">Abstract</w:t>
      </w:r>
    </w:p>
    <w:p>
      <w:pPr>
        <w:spacing w:after="120" w:line="336"/>
      </w:pPr>
      <w:r>
        <w:rPr>
          <w:rFonts w:ascii="Times New Roman" w:cs="Times New Roman" w:eastAsia="Times New Roman" w:hAnsi="Times New Roman"/>
          <w:color w:val="1F2937"/>
          <w:sz w:val="24"/>
          <w:szCs w:val="24"/>
        </w:rPr>
        <w:t xml:space="preserve">1. Software packages, shared through curated repositories such as CRAN, made data analysis reusable and easier to reproduce. Large language models (LLMs) and agent tools are now used for ecological analysis, and the structured instructions that drive them, which we call skills, are becoming a reusable unit of the same kind, yet they are shared informally, without versions, tests, or review. We argue that skills should be treated like packages in a curated repository, and we use controlled experiments to work out what such a repository should require of a skill.</w:t>
      </w:r>
    </w:p>
    <w:p>
      <w:pPr>
        <w:spacing w:after="120" w:line="336"/>
      </w:pPr>
      <w:r>
        <w:rPr>
          <w:rFonts w:ascii="Times New Roman" w:cs="Times New Roman" w:eastAsia="Times New Roman" w:hAnsi="Times New Roman"/>
          <w:color w:val="1F2937"/>
          <w:sz w:val="24"/>
          <w:szCs w:val="24"/>
        </w:rPr>
        <w:t xml:space="preserve">2. We ran two experiments. The first crossed four ecological analysis tasks with five levels of skill detail, in Python and R, ten times each, for 400 runs. The second raised the output from a single number to a whole data report, graded by an independent judge for whether it used the statistics the skill specifies.</w:t>
      </w:r>
    </w:p>
    <w:p>
      <w:pPr>
        <w:spacing w:after="120" w:line="336"/>
      </w:pPr>
      <w:r>
        <w:rPr>
          <w:rFonts w:ascii="Times New Roman" w:cs="Times New Roman" w:eastAsia="Times New Roman" w:hAnsi="Times New Roman"/>
          <w:color w:val="1F2937"/>
          <w:sz w:val="24"/>
          <w:szCs w:val="24"/>
        </w:rPr>
        <w:t xml:space="preserve">3. Reproducibility was already high when a task had one obvious approach. Where a task involved randomness, run to run variation vanished only when the skill fixed the random settings (agreement from 16 of 30 to 20 of 20; Fisher P = 2×10⁻⁴). On real reef fish data, plain runs were consistent but wrong until the skill fixed how the survey unit was defined (validity from 0 of 20 to 30 of 30; P = 2×10⁻¹⁴). A long but vague skill did not help. For a report whose analyses each had a real method fork, only a full skill made independent reports agree and use the specified methods.</w:t>
      </w:r>
    </w:p>
    <w:p>
      <w:pPr>
        <w:spacing w:after="120" w:line="336"/>
      </w:pPr>
      <w:r>
        <w:rPr>
          <w:rFonts w:ascii="Times New Roman" w:cs="Times New Roman" w:eastAsia="Times New Roman" w:hAnsi="Times New Roman"/>
          <w:color w:val="1F2937"/>
          <w:sz w:val="24"/>
          <w:szCs w:val="24"/>
        </w:rPr>
        <w:t xml:space="preserve">4. Skills improve reproducibility by removing choices, not by adding words, and the part that matters depends on the task, namely the random settings where there is randomness and the input and method contract where a convention is unclear. Reproducibility and validity are separate, so both must be checked. From these results we set out a short standard for a good skill, three checks it should pass before publication (self-consistency, reference, and coherence), and the case for a curated repository for Model Context Protocol servers and skills.</w:t>
      </w:r>
    </w:p>
    <w:p>
      <w:pPr>
        <w:spacing w:after="120" w:before="120" w:line="336"/>
      </w:pPr>
      <w:r>
        <w:rPr>
          <w:rFonts w:ascii="Times New Roman" w:cs="Times New Roman" w:eastAsia="Times New Roman" w:hAnsi="Times New Roman"/>
          <w:color w:val="1F2937"/>
          <w:sz w:val="24"/>
          <w:szCs w:val="24"/>
        </w:rPr>
        <w:t xml:space="preserve">Keywords: reproducibility; large language models; agent skills; Model Context Protocol; research software; package repository; open science; FAIR; conservation; marine ecology.</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336"/>
      </w:pPr>
      <w:r>
        <w:rPr>
          <w:rFonts w:ascii="Times New Roman" w:cs="Times New Roman" w:eastAsia="Times New Roman" w:hAnsi="Times New Roman"/>
          <w:color w:val="1F2937"/>
          <w:sz w:val="24"/>
          <w:szCs w:val="24"/>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336"/>
      </w:pPr>
      <w:r>
        <w:rPr>
          <w:rFonts w:ascii="Times New Roman" w:cs="Times New Roman" w:eastAsia="Times New Roman" w:hAnsi="Times New Roman"/>
          <w:color w:val="1F2937"/>
          <w:sz w:val="24"/>
          <w:szCs w:val="24"/>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336"/>
      </w:pPr>
      <w:r>
        <w:rPr>
          <w:rFonts w:ascii="Times New Roman" w:cs="Times New Roman" w:eastAsia="Times New Roman" w:hAnsi="Times New Roman"/>
          <w:color w:val="1F2937"/>
          <w:sz w:val="24"/>
          <w:szCs w:val="24"/>
        </w:rPr>
        <w:t xml:space="preserve">There is a precedent for making a new kind of analysis dependable. Software packages, distributed through curated repositories such as CRAN for R and Bioconductor for bioinformatics, turned analysis code into versioned, documented, tested, and reviewed units, and the analyses built on them became easier to reproduce. Skills play the same role for LLMs and their tools, especially now that tools are reached through a shared interface such as the Model Context Protocol (MCP), so a skill can package an expert procedure together with the tools and data it calls. Yet skills today are shared informally, without versions, tests, or review, much as analysis code was before package repositories existed. We argue that skills should be treated like packages and distributed through a curated repository, and that the repository should admit a skill only when the skill is shown to produce reproducible and correct results. This raises a concrete question. What must a skill contain, and what must it be tested for, to deserve a place in such a repository? We answer both with controlled experiments and turn the answer into a standard and the case for a repository.</w:t>
      </w:r>
    </w:p>
    <w:p>
      <w:pPr>
        <w:spacing w:after="120" w:line="336"/>
      </w:pPr>
      <w:r>
        <w:rPr>
          <w:rFonts w:ascii="Times New Roman" w:cs="Times New Roman" w:eastAsia="Times New Roman" w:hAnsi="Times New Roman"/>
          <w:color w:val="1F2937"/>
          <w:sz w:val="24"/>
          <w:szCs w:val="24"/>
        </w:rPr>
        <w:t xml:space="preserve">One distinction frames this work.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336"/>
      </w:pPr>
      <w:r>
        <w:rPr>
          <w:rFonts w:ascii="Times New Roman" w:cs="Times New Roman" w:eastAsia="Times New Roman" w:hAnsi="Times New Roman"/>
          <w:color w:val="1F2937"/>
          <w:sz w:val="24"/>
          <w:szCs w:val="24"/>
        </w:rPr>
        <w:t xml:space="preserve">We first summarise what earlier work shows (Section 2), then describe the two experiments and report their results (Sections 3 and 4). From the results we set out a standard for a good skill and the checks it should pass (Section 5), and we discuss the implications (Section 6). The experiments are the evidence, and the standard is the contribution. The literature review sets the context and is not a formal systematic review.</w:t>
      </w:r>
    </w:p>
    <w:p>
      <w:pPr>
        <w:pStyle w:val="Heading1"/>
      </w:pPr>
      <w:r>
        <w:rPr>
          <w:rFonts w:ascii="Times New Roman" w:cs="Times New Roman" w:eastAsia="Times New Roman" w:hAnsi="Times New Roman"/>
          <w:b/>
          <w:bCs/>
          <w:color w:val="111827"/>
          <w:sz w:val="24"/>
          <w:szCs w:val="24"/>
        </w:rPr>
        <w:t xml:space="preserve">2  Background from earlier work</w:t>
      </w:r>
    </w:p>
    <w:p>
      <w:pPr>
        <w:spacing w:after="120" w:line="336"/>
      </w:pPr>
      <w:r>
        <w:rPr>
          <w:rFonts w:ascii="Times New Roman" w:cs="Times New Roman" w:eastAsia="Times New Roman" w:hAnsi="Times New Roman"/>
          <w:color w:val="1F2937"/>
          <w:sz w:val="24"/>
          <w:szCs w:val="24"/>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336"/>
      </w:pPr>
      <w:r>
        <w:rPr>
          <w:rFonts w:ascii="Times New Roman" w:cs="Times New Roman" w:eastAsia="Times New Roman" w:hAnsi="Times New Roman"/>
          <w:color w:val="1F2937"/>
          <w:sz w:val="24"/>
          <w:szCs w:val="24"/>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336"/>
      </w:pPr>
      <w:r>
        <w:rPr>
          <w:rFonts w:ascii="Times New Roman" w:cs="Times New Roman" w:eastAsia="Times New Roman" w:hAnsi="Times New Roman"/>
          <w:color w:val="1F2937"/>
          <w:sz w:val="24"/>
          <w:szCs w:val="24"/>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336"/>
      </w:pPr>
      <w:r>
        <w:rPr>
          <w:rFonts w:ascii="Times New Roman" w:cs="Times New Roman" w:eastAsia="Times New Roman" w:hAnsi="Times New Roman"/>
          <w:color w:val="1F2937"/>
          <w:sz w:val="24"/>
          <w:szCs w:val="24"/>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336"/>
      </w:pPr>
      <w:r>
        <w:rPr>
          <w:rFonts w:ascii="Times New Roman" w:cs="Times New Roman" w:eastAsia="Times New Roman" w:hAnsi="Times New Roman"/>
          <w:color w:val="1F2937"/>
          <w:sz w:val="24"/>
          <w:szCs w:val="24"/>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336"/>
      </w:pPr>
      <w:r>
        <w:rPr>
          <w:rFonts w:ascii="Times New Roman" w:cs="Times New Roman" w:eastAsia="Times New Roman" w:hAnsi="Times New Roman"/>
          <w:color w:val="1F2937"/>
          <w:sz w:val="24"/>
          <w:szCs w:val="24"/>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experiments below test the missing case directly.</w:t>
      </w:r>
    </w:p>
    <w:p>
      <w:r>
        <w:br w:type="page"/>
      </w:r>
    </w:p>
    <w:p>
      <w:pPr>
        <w:pStyle w:val="Heading1"/>
      </w:pPr>
      <w:r>
        <w:rPr>
          <w:rFonts w:ascii="Times New Roman" w:cs="Times New Roman" w:eastAsia="Times New Roman" w:hAnsi="Times New Roman"/>
          <w:b/>
          <w:bCs/>
          <w:color w:val="111827"/>
          <w:sz w:val="24"/>
          <w:szCs w:val="24"/>
        </w:rPr>
        <w:t xml:space="preserve">3  Materials and methods</w:t>
      </w:r>
    </w:p>
    <w:p>
      <w:pPr>
        <w:pStyle w:val="Heading2"/>
      </w:pPr>
      <w:r>
        <w:rPr>
          <w:rFonts w:ascii="Times New Roman" w:cs="Times New Roman" w:eastAsia="Times New Roman" w:hAnsi="Times New Roman"/>
          <w:b/>
          <w:bCs/>
          <w:color w:val="111827"/>
          <w:sz w:val="24"/>
          <w:szCs w:val="24"/>
        </w:rPr>
        <w:t xml:space="preserve">3.1  Rationale and hypotheses</w:t>
      </w:r>
    </w:p>
    <w:p>
      <w:pPr>
        <w:spacing w:after="120" w:line="336"/>
      </w:pPr>
      <w:r>
        <w:rPr>
          <w:rFonts w:ascii="Times New Roman" w:cs="Times New Roman" w:eastAsia="Times New Roman" w:hAnsi="Times New Roman"/>
          <w:color w:val="1F2937"/>
          <w:sz w:val="24"/>
          <w:szCs w:val="24"/>
        </w:rPr>
        <w:t xml:space="preserve">We ran two experiments. The first measures the reproducibility of a single analytical output, one number per task. The second raises the output to a whole data report with several analyses and a written conclusion. In both we expected that richer, more structured skills reduce run to run variation; that the reduction comes from parts that fix the analysis, such as input and output contracts, fixed parameters and seeds, and an explicit method, rather than from length; and that reproducibility and validity are different, so a skill can make an analysis consistent without making it correct. To tell these apart we added one skill feature at a time, rather than comparing a single skill against no skill.</w:t>
      </w:r>
    </w:p>
    <w:p>
      <w:pPr>
        <w:pStyle w:val="Heading2"/>
      </w:pPr>
      <w:r>
        <w:rPr>
          <w:rFonts w:ascii="Times New Roman" w:cs="Times New Roman" w:eastAsia="Times New Roman" w:hAnsi="Times New Roman"/>
          <w:b/>
          <w:bCs/>
          <w:color w:val="111827"/>
          <w:sz w:val="24"/>
          <w:szCs w:val="24"/>
        </w:rPr>
        <w:t xml:space="preserve">3.2  Design of the two experiments</w:t>
      </w:r>
    </w:p>
    <w:p>
      <w:pPr>
        <w:spacing w:after="120" w:line="336"/>
      </w:pPr>
      <w:r>
        <w:rPr>
          <w:rFonts w:ascii="Times New Roman" w:cs="Times New Roman" w:eastAsia="Times New Roman" w:hAnsi="Times New Roman"/>
          <w:color w:val="1F2937"/>
          <w:sz w:val="24"/>
          <w:szCs w:val="24"/>
        </w:rPr>
        <w:t xml:space="preserve">Both experiments share the same approach. Each run is a fresh autonomous LLM agent, a general-purpose coding agent built on the same underlying model, given a prompt and told to run the analysis and return a structured result. Within a cell every prompt is identical, so the only source of variation is the agent's own run to run stochasticity, which is the variation the literature describes. Runs are independent, and no run can see another run's output.</w:t>
      </w:r>
    </w:p>
    <w:p>
      <w:pPr>
        <w:spacing w:after="120" w:line="336"/>
      </w:pPr>
      <w:r>
        <w:rPr>
          <w:rFonts w:ascii="Times New Roman" w:cs="Times New Roman" w:eastAsia="Times New Roman" w:hAnsi="Times New Roman"/>
          <w:color w:val="1F2937"/>
          <w:sz w:val="24"/>
          <w:szCs w:val="24"/>
        </w:rPr>
        <w:t xml:space="preserve">In the first experiment we crossed four analysis tasks with five levels of skill detail, in two languages (Python and R), with ten replicate runs per cell, giving 400 runs. The two languages let us test a stronger form of reproducibility, whether independent implementations in different languages reach the same answer, which is results reproducibility in the sense of Goodman et al. (2016).</w:t>
      </w:r>
    </w:p>
    <w:p>
      <w:pPr>
        <w:spacing w:after="120" w:line="336"/>
      </w:pPr>
      <w:r>
        <w:rPr>
          <w:rFonts w:ascii="Times New Roman" w:cs="Times New Roman" w:eastAsia="Times New Roman" w:hAnsi="Times New Roman"/>
          <w:color w:val="1F2937"/>
          <w:sz w:val="24"/>
          <w:szCs w:val="24"/>
        </w:rPr>
        <w:t xml:space="preserve">In the second experiment the agents wrote a short data report on the Palmer Penguins dataset that answered several questions and ended with a conclusion. We used a standard report with four common analyses and a hard report with six analyses that each have a real method fork, such as how many clusters to use, cross-validation or a single split for an accuracy, which predictors to put in a body-mass model, a t interval or a bootstrap for a confidence interval, a pooled or a within-species correlation, and whether to standardise before a principal component analysis. Each report version had three skill conditions, no skill, a structure-only skill that fixes the sections but not the statistics, and a full skill that fixes the exact method, parameters, and missing-data rule for every question, with eight reports per condition. A second judge agent then graded each report against one fixed rubric, the same for every condition, and scored how many of the specified methods the report actually used.</w:t>
      </w:r>
    </w:p>
    <w:p>
      <w:pPr>
        <w:pStyle w:val="Heading2"/>
      </w:pPr>
      <w:r>
        <w:rPr>
          <w:rFonts w:ascii="Times New Roman" w:cs="Times New Roman" w:eastAsia="Times New Roman" w:hAnsi="Times New Roman"/>
          <w:b/>
          <w:bCs/>
          <w:color w:val="111827"/>
          <w:sz w:val="24"/>
          <w:szCs w:val="24"/>
        </w:rPr>
        <w:t xml:space="preserve">3.3  Tasks and datasets</w:t>
      </w:r>
    </w:p>
    <w:p>
      <w:pPr>
        <w:spacing w:after="120" w:line="336"/>
      </w:pPr>
      <w:r>
        <w:rPr>
          <w:rFonts w:ascii="Times New Roman" w:cs="Times New Roman" w:eastAsia="Times New Roman" w:hAnsi="Times New Roman"/>
          <w:color w:val="1F2937"/>
          <w:sz w:val="24"/>
          <w:szCs w:val="24"/>
        </w:rPr>
        <w:t xml:space="preserve">For the first experiment we chose four tasks to cover different analysis types and different ways an analysis can diverge, and because each has a reference answer that depends on the method chosen (Table I).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 The second experiment uses the Palmer Penguins dataset for its report.</w:t>
      </w:r>
    </w:p>
    <w:p>
      <w:pPr>
        <w:spacing w:after="60" w:before="200" w:line="300"/>
      </w:pPr>
      <w:r>
        <w:rPr>
          <w:rFonts w:ascii="Times New Roman" w:cs="Times New Roman" w:eastAsia="Times New Roman" w:hAnsi="Times New Roman"/>
          <w:i/>
          <w:iCs/>
          <w:color w:val="6B7280"/>
          <w:sz w:val="22"/>
          <w:szCs w:val="22"/>
        </w:rPr>
        <w:t xml:space="preserve">Table I. The four analysis tasks of the first experiment. Each reference is the value from the fully specified recipe, computed independently. The T4 reference equals the value that the operational LTEM database tool reports for the same region and year.</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bl>
    <w:p>
      <w:pPr>
        <w:spacing w:after="120" w:line="336"/>
      </w:pPr>
      <w:r>
        <w:rPr>
          <w:rFonts w:ascii="Times New Roman" w:cs="Times New Roman" w:eastAsia="Times New Roman" w:hAnsi="Times New Roman"/>
          <w:color w:val="1F2937"/>
          <w:sz w:val="24"/>
          <w:szCs w:val="24"/>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Times New Roman" w:cs="Times New Roman" w:eastAsia="Times New Roman" w:hAnsi="Times New Roman"/>
          <w:b/>
          <w:bCs/>
          <w:color w:val="111827"/>
          <w:sz w:val="24"/>
          <w:szCs w:val="24"/>
        </w:rPr>
        <w:t xml:space="preserve">3.4  Skill levels</w:t>
      </w:r>
    </w:p>
    <w:p>
      <w:pPr>
        <w:spacing w:after="120" w:line="336"/>
      </w:pPr>
      <w:r>
        <w:rPr>
          <w:rFonts w:ascii="Times New Roman" w:cs="Times New Roman" w:eastAsia="Times New Roman" w:hAnsi="Times New Roman"/>
          <w:color w:val="1F2937"/>
          <w:sz w:val="24"/>
          <w:szCs w:val="24"/>
        </w:rPr>
        <w:t xml:space="preserve">The variable we changed was the content of an instruction block placed before the task. In the first experiment each level adds structure to the one before it, so the step between two levels shows what one skill feature contributes (Table II). In the second experiment the three report conditions are a shorter version of the same idea, from no skill through a structure-only skill to a full skill that fixes every method. The full text of all prompts is in the Supporting Information (S5).</w:t>
      </w:r>
    </w:p>
    <w:p>
      <w:pPr>
        <w:spacing w:after="60" w:before="200" w:line="300"/>
      </w:pPr>
      <w:r>
        <w:rPr>
          <w:rFonts w:ascii="Times New Roman" w:cs="Times New Roman" w:eastAsia="Times New Roman" w:hAnsi="Times New Roman"/>
          <w:i/>
          <w:iCs/>
          <w:color w:val="6B7280"/>
          <w:sz w:val="22"/>
          <w:szCs w:val="22"/>
        </w:rPr>
        <w:t xml:space="preserve">Table II. The five skill levels of the first experiment, each adding to the one before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Warnings about mistakes</w:t>
            </w:r>
          </w:p>
        </w:tc>
      </w:tr>
    </w:tbl>
    <w:p>
      <w:pPr>
        <w:pStyle w:val="Heading2"/>
      </w:pPr>
      <w:r>
        <w:rPr>
          <w:rFonts w:ascii="Times New Roman" w:cs="Times New Roman" w:eastAsia="Times New Roman" w:hAnsi="Times New Roman"/>
          <w:b/>
          <w:bCs/>
          <w:color w:val="111827"/>
          <w:sz w:val="24"/>
          <w:szCs w:val="24"/>
        </w:rPr>
        <w:t xml:space="preserve">3.5  Outcome measures</w:t>
      </w:r>
    </w:p>
    <w:p>
      <w:pPr>
        <w:spacing w:after="120" w:line="336"/>
      </w:pPr>
      <w:r>
        <w:rPr>
          <w:rFonts w:ascii="Times New Roman" w:cs="Times New Roman" w:eastAsia="Times New Roman" w:hAnsi="Times New Roman"/>
          <w:color w:val="1F2937"/>
          <w:sz w:val="24"/>
          <w:szCs w:val="24"/>
        </w:rPr>
        <w:t xml:space="preserve">For each cell we scored two things across the runs. For run to run reproducibility we used the standard deviation (SD) and the coefficient of variation of the output, the number of distinct answers within a set tolerance, and the exact-match rate, meaning the share of runs equal to the most common answer. For validity we used the share of runs whose output matched an independent reference within tolerance. In the second experiment we added coherence, meaning the share of the specified methods that the report actually used, judged from the report text against a fixed rubric. Tolerances were 10⁻³ for correlation, accuracy, and η², and 10⁻² (biomass units) for T4.</w:t>
      </w:r>
    </w:p>
    <w:p>
      <w:pPr>
        <w:pStyle w:val="Heading2"/>
      </w:pPr>
      <w:r>
        <w:rPr>
          <w:rFonts w:ascii="Times New Roman" w:cs="Times New Roman" w:eastAsia="Times New Roman" w:hAnsi="Times New Roman"/>
          <w:b/>
          <w:bCs/>
          <w:color w:val="111827"/>
          <w:sz w:val="24"/>
          <w:szCs w:val="24"/>
        </w:rPr>
        <w:t xml:space="preserve">3.6  Statistical analysis</w:t>
      </w:r>
    </w:p>
    <w:p>
      <w:pPr>
        <w:spacing w:after="120" w:line="336"/>
      </w:pPr>
      <w:r>
        <w:rPr>
          <w:rFonts w:ascii="Times New Roman" w:cs="Times New Roman" w:eastAsia="Times New Roman" w:hAnsi="Times New Roman"/>
          <w:color w:val="1F2937"/>
          <w:sz w:val="24"/>
          <w:szCs w:val="24"/>
        </w:rPr>
        <w:t xml:space="preserve">In the first experiment 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in the Data availability section.</w:t>
      </w:r>
    </w:p>
    <w:p>
      <w:pPr>
        <w:pStyle w:val="Heading2"/>
      </w:pPr>
      <w:r>
        <w:rPr>
          <w:rFonts w:ascii="Times New Roman" w:cs="Times New Roman" w:eastAsia="Times New Roman" w:hAnsi="Times New Roman"/>
          <w:b/>
          <w:bCs/>
          <w:color w:val="111827"/>
          <w:sz w:val="24"/>
          <w:szCs w:val="24"/>
        </w:rPr>
        <w:t xml:space="preserve">3.7  Openness</w:t>
      </w:r>
    </w:p>
    <w:p>
      <w:pPr>
        <w:spacing w:after="120" w:line="336"/>
      </w:pPr>
      <w:r>
        <w:rPr>
          <w:rFonts w:ascii="Times New Roman" w:cs="Times New Roman" w:eastAsia="Times New Roman" w:hAnsi="Times New Roman"/>
          <w:color w:val="1F2937"/>
          <w:sz w:val="24"/>
          <w:szCs w:val="24"/>
        </w:rPr>
        <w:t xml:space="preserve">Both experiments are self-contained and can be re-run. The data files, all prompts, the orchestration scripts, every run's structured output, and the analysis scripts that regenerate all tables and figures are archived (see Data availability and Supporting Information S5 to S9).</w:t>
      </w:r>
    </w:p>
    <w:p>
      <w:r>
        <w:br w:type="page"/>
      </w:r>
    </w:p>
    <w:p>
      <w:pPr>
        <w:pStyle w:val="Heading1"/>
      </w:pPr>
      <w:r>
        <w:rPr>
          <w:rFonts w:ascii="Times New Roman" w:cs="Times New Roman" w:eastAsia="Times New Roman" w:hAnsi="Times New Roman"/>
          <w:b/>
          <w:bCs/>
          <w:color w:val="111827"/>
          <w:sz w:val="24"/>
          <w:szCs w:val="24"/>
        </w:rPr>
        <w:t xml:space="preserve">4  Results</w:t>
      </w:r>
    </w:p>
    <w:p>
      <w:pPr>
        <w:spacing w:after="120" w:line="336"/>
      </w:pPr>
      <w:r>
        <w:rPr>
          <w:rFonts w:ascii="Times New Roman" w:cs="Times New Roman" w:eastAsia="Times New Roman" w:hAnsi="Times New Roman"/>
          <w:color w:val="1F2937"/>
          <w:sz w:val="24"/>
          <w:szCs w:val="24"/>
        </w:rPr>
        <w:t xml:space="preserve">All 400 runs of the first experiment finished, and all 24 reports of the second experiment, with their gradings, finished.</w:t>
      </w:r>
    </w:p>
    <w:p>
      <w:pPr>
        <w:spacing w:after="120" w:line="336"/>
      </w:pPr>
      <w:r>
        <w:rPr>
          <w:rFonts w:ascii="Times New Roman" w:cs="Times New Roman" w:eastAsia="Times New Roman" w:hAnsi="Times New Roman"/>
          <w:color w:val="1F2937"/>
          <w:sz w:val="24"/>
          <w:szCs w:val="24"/>
        </w:rPr>
        <w:t xml:space="preserve">Reproducibility was high by default. Three of the four tasks (T1, T3, T4) gave the same answer in every condition, including with no skill, because the agents settled on one common approach, and the naive biomass error that is about thirty times too low was never made. The skill mattered in two places. Where a task involved randomness, in the penguin sex classifier (T2), fixing the method was not enough on its own, because with the model fixed but the seed, split, and scaling still free the runs gave several different accuracies, and the variation fell to zero only when the skill also fixed the random settings. That raised run to run agreement from 16 of 30 at the low-skill levels to 20 of 20 at the high-skill levels (Fisher's exact P = 2.2×10⁻⁴) and moved every run onto the reference value (Figure 1). Where a convention was unclear, in the reef fish biomass task (T4), the runs were fully reproducible at every level yet wrong under no or basic skill, because all of them defined the survey unit in the same reasonable but non-standard way; only the input and method contract, which set the survey unit, made the answer correct, raising validity from 0 of 20 before the contract to 30 of 30 with it (P = 2.1×10⁻¹⁴) while reproducibility stayed at 100% throughout.</w:t>
      </w:r>
    </w:p>
    <w:p>
      <w:pPr>
        <w:spacing w:after="120" w:line="336"/>
      </w:pPr>
      <w:r>
        <w:rPr>
          <w:rFonts w:ascii="Times New Roman" w:cs="Times New Roman" w:eastAsia="Times New Roman" w:hAnsi="Times New Roman"/>
          <w:color w:val="1F2937"/>
          <w:sz w:val="24"/>
          <w:szCs w:val="24"/>
        </w:rPr>
        <w:t xml:space="preserve">A long but vague skill did not help. For the classifier it slightly increased the run to run variation and lowered the share of correct runs, because the loose instruction to train a classifier invited a free choice of model and the agents drifted to a random forest with varied splits. Length was not the active part; constraint was. The two richest levels, by contrast, reached full reproducibility and full validity on every task, and the added check list and do-not rules caused no measurable harm where they were not the deciding factor.</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spacing w:after="120" w:line="336"/>
      </w:pPr>
      <w:r>
        <w:rPr>
          <w:rFonts w:ascii="Times New Roman" w:cs="Times New Roman" w:eastAsia="Times New Roman" w:hAnsi="Times New Roman"/>
          <w:color w:val="1F2937"/>
          <w:sz w:val="24"/>
          <w:szCs w:val="24"/>
        </w:rPr>
        <w:t xml:space="preserve">Running the same tasks in R gave the same pattern, and comparing the two languages directly is the stronger test (Figure 2). For the three deterministic tasks Python and R gave the same value at every level, even where that value was wrong, so this kind of result is reproducible across languages and does not depend on the tool. On the biomass task both languages agreed on the same wrong value before the contract and both moved to the reference once the contract set the survey unit. The classifier was the only task where the two languages did not match, because scikit-learn and R use different models and different random number generators, so each language was reproducible within itself once the seed was fixed, but the two could not be made bit-for-bit equal, which means a cross-language comparison of a random method needs a tolerance rather than an identical number.</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Output by skill level in Python (blue) and R (red), 10 runs per cell per language. Dashed lines show the reference for each language. T1, T3, and T4 sit on one shared line in both languages, including the wrong value for T4 at C0 and C1. T2 sits on two different lines, because the Python and R classifiers do not give the same accuracy.</w:t>
      </w:r>
    </w:p>
    <w:p>
      <w:pPr>
        <w:spacing w:after="120" w:line="336"/>
      </w:pPr>
      <w:r>
        <w:rPr>
          <w:rFonts w:ascii="Times New Roman" w:cs="Times New Roman" w:eastAsia="Times New Roman" w:hAnsi="Times New Roman"/>
          <w:color w:val="1F2937"/>
          <w:sz w:val="24"/>
          <w:szCs w:val="24"/>
        </w:rPr>
        <w:t xml:space="preserve">The report experiment carried the same lessons up to a whole deliverable (Figure 3). For the standard report the reports were already reproducible without a skill, because eight independent agents produced the same numbers and the same conclusions, so the skill mainly improved coherence, from 79% with no skill to 100% with the full skill, and validity, from 75% to 100%. Under no or basic skill every report used the machine-learning library's default split for the classifier rather than the specified one, so the reports were reproducible but wrong, and a skill that fixed only the report structure did not fix the statistics. For the hard report, where each analysis had a real fork, reproducibility broke as well, because independent reports agreed on all of their numbers only half of the time, coherence fell to 58% and validity to 56%, and only the full skill returned all three to 100%. The failures were of the same two kinds seen in the single-output experiment, with some analyses diverging from run to run, such as the species-accuracy question where different reports used different models, and others reproducible but wrong, such as the clustering that every report cut into two groups rather than the three species. As before, the skill changed the outcome only where the agents' default differed from the specified method.</w:t>
      </w:r>
    </w:p>
    <w:p>
      <w:pPr>
        <w:spacing w:after="80" w:before="120"/>
        <w:jc w:val="center"/>
      </w:pPr>
      <w:r>
        <w:drawing>
          <wp:inline distT="0" distB="0" distL="0" distR="0">
            <wp:extent cx="6096000" cy="2438400"/>
            <wp:effectExtent t="0" r="0" b="0" l="0"/>
            <wp:docPr id="1" name="Hard report results" descr="Hard report results" title="Hard repor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38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3. Hard report results. Left: skill coherence, whole-report agreement, and validity by condition. Right: agreement across runs for each of the six analyses. The species-accuracy and body-mass questions diverge without the skill, while the other four do not, because their default already matched the specified method.</w:t>
      </w:r>
    </w:p>
    <w:p>
      <w:r>
        <w:br w:type="page"/>
      </w:r>
    </w:p>
    <w:p>
      <w:pPr>
        <w:pStyle w:val="Heading1"/>
      </w:pPr>
      <w:r>
        <w:rPr>
          <w:rFonts w:ascii="Times New Roman" w:cs="Times New Roman" w:eastAsia="Times New Roman" w:hAnsi="Times New Roman"/>
          <w:b/>
          <w:bCs/>
          <w:color w:val="111827"/>
          <w:sz w:val="24"/>
          <w:szCs w:val="24"/>
        </w:rPr>
        <w:t xml:space="preserve">5  A standard for good skills</w:t>
      </w:r>
    </w:p>
    <w:p>
      <w:pPr>
        <w:spacing w:after="120" w:line="336"/>
      </w:pPr>
      <w:r>
        <w:rPr>
          <w:rFonts w:ascii="Times New Roman" w:cs="Times New Roman" w:eastAsia="Times New Roman" w:hAnsi="Times New Roman"/>
          <w:color w:val="1F2937"/>
          <w:sz w:val="24"/>
          <w:szCs w:val="24"/>
        </w:rPr>
        <w:t xml:space="preserve">Software packages changed analysis. Curated repositories such as CRAN for R and Bioconductor for bioinformatics gave the community versioned, documented, and tested reusable units, and the analyses built on them became easier to reproduce. Skills are becoming a reusable unit of the same kind for LLMs and their tools, now that tools are reached through a shared interface such as the Model Context Protocol (MCP). Today skills are shared informally, without versions, tests, or review, much as analysis code was before package repositories. The two experiments say what such a repository should require of a skill, both in what the skill contains and in what it is tested for.</w:t>
      </w:r>
    </w:p>
    <w:p>
      <w:pPr>
        <w:pStyle w:val="Heading2"/>
      </w:pPr>
      <w:r>
        <w:rPr>
          <w:rFonts w:ascii="Times New Roman" w:cs="Times New Roman" w:eastAsia="Times New Roman" w:hAnsi="Times New Roman"/>
          <w:b/>
          <w:bCs/>
          <w:color w:val="111827"/>
          <w:sz w:val="24"/>
          <w:szCs w:val="24"/>
        </w:rPr>
        <w:t xml:space="preserve">5.1  What a good skill must contain</w:t>
      </w:r>
    </w:p>
    <w:p>
      <w:pPr>
        <w:spacing w:after="120" w:line="336"/>
      </w:pPr>
      <w:r>
        <w:rPr>
          <w:rFonts w:ascii="Times New Roman" w:cs="Times New Roman" w:eastAsia="Times New Roman" w:hAnsi="Times New Roman"/>
          <w:color w:val="1F2937"/>
          <w:sz w:val="24"/>
          <w:szCs w:val="24"/>
        </w:rPr>
        <w:t xml:space="preserve">The two experiments give an ordered list of what a skill needs. The order depends on the task's main source of variation, which the author should identify first.</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Declare a reference value and a tolerance, so the skill can be checked for being correct, and not only for agreeing with itself.</w:t>
      </w:r>
    </w:p>
    <w:p>
      <w:pPr>
        <w:pStyle w:val="ListParagraph"/>
        <w:numPr>
          <w:ilvl w:val="0"/>
          <w:numId w:val="2"/>
        </w:numPr>
        <w:spacing w:after="60" w:line="320"/>
      </w:pPr>
      <w:r>
        <w:rPr>
          <w:rFonts w:ascii="Times New Roman" w:cs="Times New Roman" w:eastAsia="Times New Roman" w:hAnsi="Times New Roman"/>
          <w:color w:val="1F2937"/>
          <w:sz w:val="24"/>
          <w:szCs w:val="24"/>
        </w:rPr>
        <w:t xml:space="preserve">Add do-not rules and a validation check list. These are cheap guards that close known traps, such as a within-species correlation, a row-level biomass mean, or a dropped seed.</w:t>
      </w:r>
    </w:p>
    <w:p>
      <w:pPr>
        <w:spacing w:after="120" w:line="336"/>
      </w:pPr>
      <w:r>
        <w:rPr>
          <w:rFonts w:ascii="Times New Roman" w:cs="Times New Roman" w:eastAsia="Times New Roman" w:hAnsi="Times New Roman"/>
          <w:color w:val="1F2937"/>
          <w:sz w:val="24"/>
          <w:szCs w:val="24"/>
        </w:rPr>
        <w:t xml:space="preserve">Length, generic step lists, and encouragement without fixed choices did not help on their own. A skill improves the output in proportion to the number of free choices it removes, not the number of words it adds, so a good skill reads as a contract with fixed parameters, exact calls, named unit definitions, and clear do-not rules, not as a tutorial. Fixing only the report structure, without fixing the statistics, did not make the analysis reproducible or correct in the second experiment, so a skill must fix the methods, not just the layout.</w:t>
      </w:r>
    </w:p>
    <w:p>
      <w:pPr>
        <w:pStyle w:val="Heading2"/>
      </w:pPr>
      <w:r>
        <w:rPr>
          <w:rFonts w:ascii="Times New Roman" w:cs="Times New Roman" w:eastAsia="Times New Roman" w:hAnsi="Times New Roman"/>
          <w:b/>
          <w:bCs/>
          <w:color w:val="111827"/>
          <w:sz w:val="24"/>
          <w:szCs w:val="24"/>
        </w:rPr>
        <w:t xml:space="preserve">5.2  Checks a skill must pass before it is published</w:t>
      </w:r>
    </w:p>
    <w:p>
      <w:pPr>
        <w:spacing w:after="120" w:line="336"/>
      </w:pPr>
      <w:r>
        <w:rPr>
          <w:rFonts w:ascii="Times New Roman" w:cs="Times New Roman" w:eastAsia="Times New Roman" w:hAnsi="Times New Roman"/>
          <w:color w:val="1F2937"/>
          <w:sz w:val="24"/>
          <w:szCs w:val="24"/>
        </w:rPr>
        <w:t xml:space="preserve">The measures we used to score the experiments can be run automatically, so a repository can screen a skill the way R CMD check screens an R package before it reaches CRAN. We propose three checks. A self-consistency check runs the skill several times on fixed data and confirms the outputs agree within the stated tolerance (Wang et al., 2023); a skill whose outputs do not converge is not ready. A reference check compares the output against a stored reference value within the tolerance the skill declares, so the skill is tested for being correct, not only for agreeing with itself, because reproducibility and validity are separate (Section 4). A coherence check has an independent grader read the finished output and confirm it used the methods the skill specifies, which a short judge rubric did reliably in the second experiment. A skill passes when it is reproducible, valid, and coherent with its own stated methods.</w:t>
      </w:r>
    </w:p>
    <w:p>
      <w:r>
        <w:br w:type="page"/>
      </w:r>
    </w:p>
    <w:p>
      <w:pPr>
        <w:pStyle w:val="Heading1"/>
      </w:pPr>
      <w:r>
        <w:rPr>
          <w:rFonts w:ascii="Times New Roman" w:cs="Times New Roman" w:eastAsia="Times New Roman" w:hAnsi="Times New Roman"/>
          <w:b/>
          <w:bCs/>
          <w:color w:val="111827"/>
          <w:sz w:val="24"/>
          <w:szCs w:val="24"/>
        </w:rPr>
        <w:t xml:space="preserve">6  Discussion</w:t>
      </w:r>
    </w:p>
    <w:p>
      <w:pPr>
        <w:pStyle w:val="Heading2"/>
      </w:pPr>
      <w:r>
        <w:rPr>
          <w:rFonts w:ascii="Times New Roman" w:cs="Times New Roman" w:eastAsia="Times New Roman" w:hAnsi="Times New Roman"/>
          <w:b/>
          <w:bCs/>
          <w:color w:val="111827"/>
          <w:sz w:val="24"/>
          <w:szCs w:val="24"/>
        </w:rPr>
        <w:t xml:space="preserve">6.1  Skills work by removing choices, and the part that matters depends on the task</w:t>
      </w:r>
    </w:p>
    <w:p>
      <w:pPr>
        <w:spacing w:after="120" w:line="336"/>
      </w:pPr>
      <w:r>
        <w:rPr>
          <w:rFonts w:ascii="Times New Roman" w:cs="Times New Roman" w:eastAsia="Times New Roman" w:hAnsi="Times New Roman"/>
          <w:color w:val="1F2937"/>
          <w:sz w:val="24"/>
          <w:szCs w:val="24"/>
        </w:rPr>
        <w:t xml:space="preserve">The experiments give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was the weakest of the skilled levels. A good skill finds the specific free choice that makes a task diverge and removes it.</w:t>
      </w:r>
    </w:p>
    <w:p>
      <w:pPr>
        <w:pStyle w:val="Heading2"/>
      </w:pPr>
      <w:r>
        <w:rPr>
          <w:rFonts w:ascii="Times New Roman" w:cs="Times New Roman" w:eastAsia="Times New Roman" w:hAnsi="Times New Roman"/>
          <w:b/>
          <w:bCs/>
          <w:color w:val="111827"/>
          <w:sz w:val="24"/>
          <w:szCs w:val="24"/>
        </w:rPr>
        <w:t xml:space="preserve">6.2  How this fits earlier work</w:t>
      </w:r>
    </w:p>
    <w:p>
      <w:pPr>
        <w:spacing w:after="120" w:line="336"/>
      </w:pPr>
      <w:r>
        <w:rPr>
          <w:rFonts w:ascii="Times New Roman" w:cs="Times New Roman" w:eastAsia="Times New Roman" w:hAnsi="Times New Roman"/>
          <w:color w:val="1F2937"/>
          <w:sz w:val="24"/>
          <w:szCs w:val="24"/>
        </w:rPr>
        <w:t xml:space="preserve">The experiments support the points from the literature and fill the missing case. They show the extra run to run variation that LLM help brings (T2). They support the idea that structure helps, with a refinement, because only constraining structure helped. They support measuring the output rather than the code (T4), where identical outputs were consistently wrong until a contract fixed the target quantity. No earlier study had tested AI skills against output reproducibility in ecology, and this work gives a first direct estimate.</w:t>
      </w:r>
    </w:p>
    <w:p>
      <w:pPr>
        <w:spacing w:after="120" w:line="336"/>
      </w:pPr>
      <w:r>
        <w:rPr>
          <w:rFonts w:ascii="Times New Roman" w:cs="Times New Roman" w:eastAsia="Times New Roman" w:hAnsi="Times New Roman"/>
          <w:color w:val="1F2937"/>
          <w:sz w:val="24"/>
          <w:szCs w:val="24"/>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Times New Roman" w:cs="Times New Roman" w:eastAsia="Times New Roman" w:hAnsi="Times New Roman"/>
          <w:b/>
          <w:bCs/>
          <w:color w:val="111827"/>
          <w:sz w:val="24"/>
          <w:szCs w:val="24"/>
        </w:rPr>
        <w:t xml:space="preserve">6.3  From single numbers to whole reports</w:t>
      </w:r>
    </w:p>
    <w:p>
      <w:pPr>
        <w:spacing w:after="120" w:line="336"/>
      </w:pPr>
      <w:r>
        <w:rPr>
          <w:rFonts w:ascii="Times New Roman" w:cs="Times New Roman" w:eastAsia="Times New Roman" w:hAnsi="Times New Roman"/>
          <w:color w:val="1F2937"/>
          <w:sz w:val="24"/>
          <w:szCs w:val="24"/>
        </w:rPr>
        <w:t xml:space="preserve">The second experiment extends the finding from a single number to a whole report, and shows the effect grows with difficulty. For a standard report the reports were already reproducible without a skill, so the skill mainly improved coherence and validity. For a report whose analyses each had a real method fork, independent reports no longer agreed, and only the full skill made the report reproducible, coherent, and valid at the same time. The same two failure modes appeared as in the first experiment, where some analyses diverged from run to run and others were reproducible but wrong. A short judge rubric, run over the finished report, was enough to measure whether the report used the specified statistics. This gives authors, reviewers, and editors a simple check for whether an AI-assisted report is coherent with its stated methods.</w:t>
      </w:r>
    </w:p>
    <w:p>
      <w:pPr>
        <w:pStyle w:val="Heading2"/>
      </w:pPr>
      <w:r>
        <w:rPr>
          <w:rFonts w:ascii="Times New Roman" w:cs="Times New Roman" w:eastAsia="Times New Roman" w:hAnsi="Times New Roman"/>
          <w:b/>
          <w:bCs/>
          <w:color w:val="111827"/>
          <w:sz w:val="24"/>
          <w:szCs w:val="24"/>
        </w:rPr>
        <w:t xml:space="preserve">6.4  Limitations</w:t>
      </w:r>
    </w:p>
    <w:p>
      <w:pPr>
        <w:spacing w:after="120" w:line="336"/>
      </w:pPr>
      <w:r>
        <w:rPr>
          <w:rFonts w:ascii="Times New Roman" w:cs="Times New Roman" w:eastAsia="Times New Roman" w:hAnsi="Times New Roman"/>
          <w:color w:val="1F2937"/>
          <w:sz w:val="24"/>
          <w:szCs w:val="24"/>
        </w:rPr>
        <w:t xml:space="preserve">The first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 The second experiment used one dataset, two report templates, one language, eight reports per condition, and a single judge to grade each report; a larger version should add more datasets and templates and a multi-judge grader.</w:t>
      </w:r>
    </w:p>
    <w:p>
      <w:pPr>
        <w:pStyle w:val="Heading2"/>
      </w:pPr>
      <w:r>
        <w:rPr>
          <w:rFonts w:ascii="Times New Roman" w:cs="Times New Roman" w:eastAsia="Times New Roman" w:hAnsi="Times New Roman"/>
          <w:b/>
          <w:bCs/>
          <w:color w:val="111827"/>
          <w:sz w:val="24"/>
          <w:szCs w:val="24"/>
        </w:rPr>
        <w:t xml:space="preserve">6.5  A larger study and building the repository</w:t>
      </w:r>
    </w:p>
    <w:p>
      <w:pPr>
        <w:spacing w:after="120" w:line="336"/>
      </w:pPr>
      <w:r>
        <w:rPr>
          <w:rFonts w:ascii="Times New Roman" w:cs="Times New Roman" w:eastAsia="Times New Roman" w:hAnsi="Times New Roman"/>
          <w:color w:val="1F2937"/>
          <w:sz w:val="24"/>
          <w:szCs w:val="24"/>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Building the repository itself, where a submitted skill is validated by the three checks and given a citable DOI, is the natural next step, and all materials here can be reused for it.</w:t>
      </w:r>
    </w:p>
    <w:p>
      <w:pPr>
        <w:pStyle w:val="Heading1"/>
      </w:pPr>
      <w:r>
        <w:rPr>
          <w:rFonts w:ascii="Times New Roman" w:cs="Times New Roman" w:eastAsia="Times New Roman" w:hAnsi="Times New Roman"/>
          <w:b/>
          <w:bCs/>
          <w:color w:val="111827"/>
          <w:sz w:val="24"/>
          <w:szCs w:val="24"/>
        </w:rPr>
        <w:t xml:space="preserve">7  Conclusions</w:t>
      </w:r>
    </w:p>
    <w:p>
      <w:pPr>
        <w:spacing w:after="120" w:line="336"/>
      </w:pPr>
      <w:r>
        <w:rPr>
          <w:rFonts w:ascii="Times New Roman" w:cs="Times New Roman" w:eastAsia="Times New Roman" w:hAnsi="Times New Roman"/>
          <w:color w:val="1F2937"/>
          <w:sz w:val="24"/>
          <w:szCs w:val="24"/>
        </w:rPr>
        <w:t xml:space="preserve">Software packages, shared through curated repositories, made analysis reusable and easier to reproduce, and AI skills are becoming a reusable unit of the same kind for large language models and their tools. In two controlled experiments we found that a skill improves an output by removing free choices, not by adding words, and that the deciding part depends on the task, namely the random settings where a task involves randomness and the input and method contract where a convention is unclear. Reproducibility and validity are separate, so a skill can make an analysis consistent without making it correct, and both must be checked; the same held for a whole report. From these results we set out what a good skill must contain, three checks it should pass (self-consistency, a reference, and coherence with its stated methods), and the case for a curated repository for Model Context Protocol servers and skills. Treating skills as versioned, tested, and reviewed packages, as CRAN and Bioconductor did for code, would give ecology a dependable and citable body of analysis skills, and the open experimental design here is a way to test each one before it is shared. Building and launching this repository, with automated validation on submission and a citable DOI for each skill version, is work we are now beginning.</w:t>
      </w:r>
    </w:p>
    <w:p>
      <w:pPr>
        <w:pBdr>
          <w:bottom w:val="single" w:color="E5E7EB" w:sz="4" w:space="1"/>
        </w:pBdr>
        <w:spacing w:after="160" w:before="160"/>
      </w:pPr>
    </w:p>
    <w:p>
      <w:pPr>
        <w:pStyle w:val="Heading2"/>
      </w:pPr>
      <w:r>
        <w:rPr>
          <w:rFonts w:ascii="Times New Roman" w:cs="Times New Roman" w:eastAsia="Times New Roman" w:hAnsi="Times New Roman"/>
          <w:b/>
          <w:bCs/>
          <w:color w:val="111827"/>
          <w:sz w:val="24"/>
          <w:szCs w:val="24"/>
        </w:rPr>
        <w:t xml:space="preserve">Author contributions</w:t>
      </w:r>
    </w:p>
    <w:p>
      <w:pPr>
        <w:spacing w:after="120" w:line="336"/>
      </w:pPr>
      <w:r>
        <w:rPr>
          <w:rFonts w:ascii="Times New Roman" w:cs="Times New Roman" w:eastAsia="Times New Roman" w:hAnsi="Times New Roman"/>
          <w:color w:val="1F2937"/>
          <w:sz w:val="20"/>
          <w:szCs w:val="20"/>
        </w:rPr>
        <w:t xml:space="preserve">[To be completed.]</w:t>
      </w:r>
    </w:p>
    <w:p>
      <w:pPr>
        <w:pStyle w:val="Heading2"/>
      </w:pPr>
      <w:r>
        <w:rPr>
          <w:rFonts w:ascii="Times New Roman" w:cs="Times New Roman" w:eastAsia="Times New Roman" w:hAnsi="Times New Roman"/>
          <w:b/>
          <w:bCs/>
          <w:color w:val="111827"/>
          <w:sz w:val="24"/>
          <w:szCs w:val="24"/>
        </w:rPr>
        <w:t xml:space="preserve">Data availability and reproducibility</w:t>
      </w:r>
    </w:p>
    <w:p>
      <w:pPr>
        <w:spacing w:after="120" w:line="336"/>
      </w:pPr>
      <w:r>
        <w:rPr>
          <w:rFonts w:ascii="Times New Roman" w:cs="Times New Roman" w:eastAsia="Times New Roman" w:hAnsi="Times New Roman"/>
          <w:color w:val="1F2937"/>
          <w:sz w:val="21"/>
          <w:szCs w:val="21"/>
        </w:rPr>
        <w:t xml:space="preserve">All code and materials are publicly available in a Git repository at https://github.com/Fabbiologia/ai-skills-reproducibility-ecology, and will be archived on Zenodo with a DOI on acceptance. This includes the two open data files (iris and Palmer Penguins), the 40 prompts (Python and R), the two orchestration scripts that launched the 400 runs, every run's structured output for both languages, and the analysis scripts that regenerate all tables and figures. The LTEM Cabo Pulmo 2023 reef fish data used for Task T4 is restricted and is available on request from the Aburto Lab; Tasks T1 to T3 are fully reproducible from the repository as it stands. The second experiment adds its own prompts, the generation and judge workflows, the report outputs with judge grades, and its analysis scripts, in the report_reproducibility folder of the repository. The list of studies read for the background, and the search terms, are given in S1 to S4.</w:t>
      </w:r>
    </w:p>
    <w:p>
      <w:pPr>
        <w:pStyle w:val="Heading2"/>
      </w:pPr>
      <w:r>
        <w:rPr>
          <w:rFonts w:ascii="Times New Roman" w:cs="Times New Roman" w:eastAsia="Times New Roman" w:hAnsi="Times New Roman"/>
          <w:b/>
          <w:bCs/>
          <w:color w:val="111827"/>
          <w:sz w:val="24"/>
          <w:szCs w:val="24"/>
        </w:rPr>
        <w:t xml:space="preserve">Conflicts of interest</w:t>
      </w:r>
    </w:p>
    <w:p>
      <w:pPr>
        <w:spacing w:after="120" w:line="336"/>
      </w:pPr>
      <w:r>
        <w:rPr>
          <w:rFonts w:ascii="Times New Roman" w:cs="Times New Roman" w:eastAsia="Times New Roman" w:hAnsi="Times New Roman"/>
          <w:color w:val="1F2937"/>
          <w:sz w:val="20"/>
          <w:szCs w:val="20"/>
        </w:rPr>
        <w:t xml:space="preserve">None declared.</w:t>
      </w:r>
    </w:p>
    <w:p>
      <w:pPr>
        <w:pStyle w:val="Heading2"/>
      </w:pPr>
      <w:r>
        <w:rPr>
          <w:rFonts w:ascii="Times New Roman" w:cs="Times New Roman" w:eastAsia="Times New Roman" w:hAnsi="Times New Roman"/>
          <w:b/>
          <w:bCs/>
          <w:color w:val="111827"/>
          <w:sz w:val="24"/>
          <w:szCs w:val="24"/>
        </w:rPr>
        <w:t xml:space="preserve">Funding</w:t>
      </w:r>
    </w:p>
    <w:p>
      <w:pPr>
        <w:spacing w:after="120" w:line="336"/>
      </w:pPr>
      <w:r>
        <w:rPr>
          <w:rFonts w:ascii="Times New Roman" w:cs="Times New Roman" w:eastAsia="Times New Roman" w:hAnsi="Times New Roman"/>
          <w:color w:val="1F2937"/>
          <w:sz w:val="20"/>
          <w:szCs w:val="20"/>
        </w:rPr>
        <w:t xml:space="preserve">[To be completed.]</w:t>
      </w:r>
    </w:p>
    <w:p>
      <w:pPr>
        <w:pStyle w:val="Heading1"/>
      </w:pPr>
      <w:r>
        <w:rPr>
          <w:rFonts w:ascii="Times New Roman" w:cs="Times New Roman" w:eastAsia="Times New Roman" w:hAnsi="Times New Roman"/>
          <w:b/>
          <w:bCs/>
          <w:color w:val="111827"/>
          <w:sz w:val="24"/>
          <w:szCs w:val="24"/>
        </w:rPr>
        <w:t xml:space="preserve">References</w:t>
      </w:r>
    </w:p>
    <w:p>
      <w:pPr>
        <w:spacing w:after="100" w:line="30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300"/>
        <w:ind w:left="360" w:hanging="360"/>
      </w:pPr>
      <w:r>
        <w:rPr>
          <w:rFonts w:ascii="Times New Roman" w:cs="Times New Roman" w:eastAsia="Times New Roman" w:hAnsi="Times New Roman"/>
          <w:color w:val="1F2937"/>
          <w:sz w:val="24"/>
          <w:szCs w:val="24"/>
        </w:rPr>
        <w:t xml:space="preserve">Barker, M., Chue Hong, N. P., Katz, D. S., et al. (2022). Introducing the FAIR Principles for research software. Scientific Data, 9, 622.</w:t>
      </w:r>
    </w:p>
    <w:p>
      <w:pPr>
        <w:spacing w:after="100" w:line="30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30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16(12), 2730–2740.</w:t>
      </w:r>
    </w:p>
    <w:p>
      <w:pPr>
        <w:spacing w:after="100" w:line="30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30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300"/>
        <w:ind w:left="360" w:hanging="360"/>
      </w:pPr>
      <w:r>
        <w:rPr>
          <w:rFonts w:ascii="Times New Roman" w:cs="Times New Roman" w:eastAsia="Times New Roman" w:hAnsi="Times New Roman"/>
          <w:color w:val="1F2937"/>
          <w:sz w:val="24"/>
          <w:szCs w:val="24"/>
        </w:rPr>
        <w:t xml:space="preserve">Harris, C. R., Millman, K. J., van der Walt, S. J., et al. (2020). Array programming with NumPy. Nature, 585, 357–362.</w:t>
      </w:r>
    </w:p>
    <w:p>
      <w:pPr>
        <w:spacing w:after="100" w:line="30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30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30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300"/>
        <w:ind w:left="360" w:hanging="360"/>
      </w:pPr>
      <w:r>
        <w:rPr>
          <w:rFonts w:ascii="Times New Roman" w:cs="Times New Roman" w:eastAsia="Times New Roman" w:hAnsi="Times New Roman"/>
          <w:color w:val="1F2937"/>
          <w:sz w:val="24"/>
          <w:szCs w:val="24"/>
        </w:rPr>
        <w:t xml:space="preserve">Kellner, K. F., et al. (2025). Functional R code is rare in species distribution and abundance papers. Ecology, e4475.</w:t>
      </w:r>
    </w:p>
    <w:p>
      <w:pPr>
        <w:spacing w:after="100" w:line="30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300"/>
        <w:ind w:left="360" w:hanging="360"/>
      </w:pPr>
      <w:r>
        <w:rPr>
          <w:rFonts w:ascii="Times New Roman" w:cs="Times New Roman" w:eastAsia="Times New Roman" w:hAnsi="Times New Roman"/>
          <w:color w:val="1F2937"/>
          <w:sz w:val="24"/>
          <w:szCs w:val="24"/>
        </w:rPr>
        <w:t xml:space="preserve">Pedregosa, F., Varoquaux, G., Gramfort, A., et al. (2011). Scikit-learn: Machine learning in Python. Journal of Machine Learning Research, 12, 2825–2830.</w:t>
      </w:r>
    </w:p>
    <w:p>
      <w:pPr>
        <w:spacing w:after="100" w:line="300"/>
        <w:ind w:left="360" w:hanging="360"/>
      </w:pPr>
      <w:r>
        <w:rPr>
          <w:rFonts w:ascii="Times New Roman" w:cs="Times New Roman" w:eastAsia="Times New Roman" w:hAnsi="Times New Roman"/>
          <w:color w:val="1F2937"/>
          <w:sz w:val="24"/>
          <w:szCs w:val="24"/>
        </w:rPr>
        <w:t xml:space="preserve">Pimentel, J. F., Murta, L., Braganholo, V., &amp; Freire, J. (2019). A large-scale study about quality and reproducibility of Jupyter notebooks. MSR 2019.</w:t>
      </w:r>
    </w:p>
    <w:p>
      <w:pPr>
        <w:spacing w:after="100" w:line="300"/>
        <w:ind w:left="360" w:hanging="360"/>
      </w:pPr>
      <w:r>
        <w:rPr>
          <w:rFonts w:ascii="Times New Roman" w:cs="Times New Roman" w:eastAsia="Times New Roman" w:hAnsi="Times New Roman"/>
          <w:color w:val="1F2937"/>
          <w:sz w:val="24"/>
          <w:szCs w:val="24"/>
        </w:rPr>
        <w:t xml:space="preserve">R Core Team (2026). R: A language and environment for statistical computing. R Foundation for Statistical Computing, Vienna, Austria. Version 4.6.0.</w:t>
      </w:r>
    </w:p>
    <w:p>
      <w:pPr>
        <w:spacing w:after="100" w:line="300"/>
        <w:ind w:left="360" w:hanging="360"/>
      </w:pPr>
      <w:r>
        <w:rPr>
          <w:rFonts w:ascii="Times New Roman" w:cs="Times New Roman" w:eastAsia="Times New Roman" w:hAnsi="Times New Roman"/>
          <w:color w:val="1F2937"/>
          <w:sz w:val="24"/>
          <w:szCs w:val="24"/>
        </w:rPr>
        <w:t xml:space="preserve">Trisovic, A., Lau, M. K., Pasquier, T., &amp; Crosas, M. (2022). A large-scale study on research code quality and execution. Scientific Data, 9, 60.</w:t>
      </w:r>
    </w:p>
    <w:p>
      <w:pPr>
        <w:spacing w:after="100" w:line="300"/>
        <w:ind w:left="360" w:hanging="360"/>
      </w:pPr>
      <w:r>
        <w:rPr>
          <w:rFonts w:ascii="Times New Roman" w:cs="Times New Roman" w:eastAsia="Times New Roman" w:hAnsi="Times New Roman"/>
          <w:color w:val="1F2937"/>
          <w:sz w:val="24"/>
          <w:szCs w:val="24"/>
        </w:rPr>
        <w:t xml:space="preserve">Virtanen, P., Gommers, R., Oliphant, T. E., et al. (2020). SciPy 1.0: fundamental algorithms for scientific computing in Python. Nature Methods, 17, 261–272.</w:t>
      </w:r>
    </w:p>
    <w:p>
      <w:pPr>
        <w:spacing w:after="100" w:line="300"/>
        <w:ind w:left="360" w:hanging="360"/>
      </w:pPr>
      <w:r>
        <w:rPr>
          <w:rFonts w:ascii="Times New Roman" w:cs="Times New Roman" w:eastAsia="Times New Roman" w:hAnsi="Times New Roman"/>
          <w:color w:val="1F2937"/>
          <w:sz w:val="24"/>
          <w:szCs w:val="24"/>
        </w:rPr>
        <w:t xml:space="preserve">Wang, X., Wei, J., Schuurmans, D., et al. (2023). Self-consistency improves chain-of-thought reasoning in language models. ICLR 2023. arXiv:2203.11171.</w:t>
      </w:r>
    </w:p>
    <w:p>
      <w:pPr>
        <w:spacing w:after="100" w:line="300"/>
        <w:ind w:left="360" w:hanging="360"/>
      </w:pPr>
      <w:r>
        <w:rPr>
          <w:rFonts w:ascii="Times New Roman" w:cs="Times New Roman" w:eastAsia="Times New Roman" w:hAnsi="Times New Roman"/>
          <w:color w:val="1F2937"/>
          <w:sz w:val="24"/>
          <w:szCs w:val="24"/>
        </w:rPr>
        <w:t xml:space="preserve">Wilkinson, M. D., Dumontier, M., Aalbersberg, Ij. J., et al. (2016). The FAIR Guiding Principles for scientific data management and stewardship. Scientific Data, 3, 160018.</w:t>
      </w:r>
    </w:p>
    <w:p>
      <w:pPr>
        <w:spacing w:after="100" w:line="30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p>
      <w:pPr>
        <w:spacing w:after="100" w:line="300"/>
        <w:ind w:left="360" w:hanging="360"/>
      </w:pPr>
      <w:r>
        <w:rPr>
          <w:rFonts w:ascii="Times New Roman" w:cs="Times New Roman" w:eastAsia="Times New Roman" w:hAnsi="Times New Roman"/>
          <w:color w:val="1F2937"/>
          <w:sz w:val="24"/>
          <w:szCs w:val="24"/>
        </w:rPr>
        <w:t xml:space="preserve">How consistent are LLM agents? Measuring behavioral reproducibility in multi-step tool-calling pipelines (2026, preprint). arXiv:2605.28840.</w:t>
      </w:r>
    </w:p>
    <w:p>
      <w:pPr>
        <w:spacing w:after="100" w:line="300"/>
        <w:ind w:left="360" w:hanging="360"/>
      </w:pPr>
      <w:r>
        <w:rPr>
          <w:rFonts w:ascii="Times New Roman" w:cs="Times New Roman" w:eastAsia="Times New Roman" w:hAnsi="Times New Roman"/>
          <w:color w:val="1F2937"/>
          <w:sz w:val="24"/>
          <w:szCs w:val="24"/>
        </w:rPr>
        <w:t xml:space="preserve">Large language models possess some ecological knowledge, but how much? (2026). Journal for Nature Conservation.</w:t>
      </w:r>
    </w:p>
    <w:p>
      <w:pPr>
        <w:spacing w:after="100" w:line="300"/>
        <w:ind w:left="360" w:hanging="360"/>
      </w:pPr>
      <w:r>
        <w:rPr>
          <w:rFonts w:ascii="Times New Roman" w:cs="Times New Roman" w:eastAsia="Times New Roman" w:hAnsi="Times New Roman"/>
          <w:color w:val="1F2937"/>
          <w:sz w:val="24"/>
          <w:szCs w:val="24"/>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AI skills and output reproducibility of ecological analyses</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81481fa3cb77c91191775d7bc8896e15cbf1c4bf.png"/><Relationship Id="rId10" Type="http://schemas.openxmlformats.org/officeDocument/2006/relationships/image" Target="media/d9648fda80c6d9a3a3b72cbcc877b3be87deedc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2026-07-07T15:21:03.035Z</dcterms:created>
  <dcterms:modified xsi:type="dcterms:W3CDTF">2026-07-07T15:21:03.035Z</dcterms:modified>
</cp:coreProperties>
</file>

<file path=docProps/custom.xml><?xml version="1.0" encoding="utf-8"?>
<Properties xmlns="http://schemas.openxmlformats.org/officeDocument/2006/custom-properties" xmlns:vt="http://schemas.openxmlformats.org/officeDocument/2006/docPropsVTypes"/>
</file>