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22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so that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96 per cent of runs against 75 per cent for the script, a difference of 21 percentage points that holds in a paired test across the twelve tasks. The script was 16 points ahead of giving no instruction at all, but that difference was not supported by the paired test.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limits we found, namely that a specification survives a change in what the columns are called but not a rearrangement of the table, and that it fixes the quantity but not the estimator.</w:t>
      </w:r>
    </w:p>
    <w:p>
      <w:pPr>
        <w:spacing w:after="80" w:line="240"/>
      </w:pPr>
      <w:r>
        <w:rPr>
          <w:rFonts w:ascii="Times New Roman" w:cs="Times New Roman" w:eastAsia="Times New Roman" w:hAnsi="Times New Roman"/>
          <w:color w:val="1F2937"/>
          <w:sz w:val="22"/>
          <w:szCs w:val="22"/>
        </w:rPr>
        <w:t xml:space="preserve">The finding we think most useful to readers of this journal is what happened to reproducibility. Measured across all twelve tasks, the script made runs agree with one another exactly as often as the specification did, on eleven tasks of twelve, while reaching the correct value far less often. On one task every one of the ten runs given a working script returned the same number and none of them was right, because the script counted only the plot-years present in the file and dropped the surveys that caught nothing. The number those ten runs agreed on is the part we would most like to draw to your attention. It is not noise but the reference value of a neighbouring task in the same study, the one that asks the same question without the instruction about empty plot-years, matched to seven decimal places. The runs given code computed a quantity correctly and in complete agreement with one another, and answered a question nobody had asked. That is reproducibility without validity, produced by the practice most often recommended for obtaining reproducibility, and we think it is worth putting in front of ecologists who are beginning to use these tools. The wrong values were plausible rather than absurd, differing from the reference by a few per cent, and repeating the analysis, rewriting it in a second language or moving to a model from another company would each have confirmed the error.</w:t>
      </w:r>
    </w:p>
    <w:p>
      <w:pPr>
        <w:spacing w:after="80" w:line="240"/>
      </w:pPr>
      <w:r>
        <w:rPr>
          <w:rFonts w:ascii="Times New Roman" w:cs="Times New Roman" w:eastAsia="Times New Roman" w:hAnsi="Times New Roman"/>
          <w:color w:val="1F2937"/>
          <w:sz w:val="22"/>
          <w:szCs w:val="22"/>
        </w:rPr>
        <w:t xml:space="preserve">We should draw your attention to one analytical choice, because it affects a reported comparison and we would rather state it than have it found. Runs can fail to return a number either because the model produced code that does not run, which is a property of the condition, or because the call failed at the provider on a network error, which is not. The primary analysis excludes the second and counts the first as a wrong answer. The advantage of the specification over the script holds under that convention and also when every run is counted, but among only those runs that returned a number the two are not distinguishable, because much of the script's disadvantage is that it produced code that did not run. All three conventions are tabulated in the results and in the Supporting Information, and the manuscript says plainly which part of the claim rests on which.</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We enclose the manuscript, a title page, and a Supporting Information document that gives the twelve tasks and their specifications in full, complete per-task results, the wrong values with the reading of the question that produces each, and the sensitivity table described above. The Supporting Information is generated from the archived run records when it is built, so it cannot fall out of step with the analysis. 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2026-07-22T15:06:49.567Z</dcterms:created>
  <dcterms:modified xsi:type="dcterms:W3CDTF">2026-07-22T15:06:49.568Z</dcterms:modified>
</cp:coreProperties>
</file>

<file path=docProps/custom.xml><?xml version="1.0" encoding="utf-8"?>
<Properties xmlns="http://schemas.openxmlformats.org/officeDocument/2006/custom-properties" xmlns:vt="http://schemas.openxmlformats.org/officeDocument/2006/docPropsVTypes"/>
</file>