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glscalibrator:</w:t>
      </w:r>
      <w:r>
        <w:t xml:space="preserve"> </w:t>
      </w:r>
      <w:r>
        <w:t xml:space="preserve">An</w:t>
      </w:r>
      <w:r>
        <w:t xml:space="preserve"> </w:t>
      </w:r>
      <w:r>
        <w:t xml:space="preserve">R</w:t>
      </w:r>
      <w:r>
        <w:t xml:space="preserve"> </w:t>
      </w:r>
      <w:r>
        <w:t xml:space="preserve">Package</w:t>
      </w:r>
      <w:r>
        <w:t xml:space="preserve"> </w:t>
      </w:r>
      <w:r>
        <w:t xml:space="preserve">for</w:t>
      </w:r>
      <w:r>
        <w:t xml:space="preserve"> </w:t>
      </w:r>
      <w:r>
        <w:t xml:space="preserve">Automated</w:t>
      </w:r>
      <w:r>
        <w:t xml:space="preserve"> </w:t>
      </w:r>
      <w:r>
        <w:t xml:space="preserve">Calibration</w:t>
      </w:r>
      <w:r>
        <w:t xml:space="preserve"> </w:t>
      </w:r>
      <w:r>
        <w:t xml:space="preserve">and</w:t>
      </w:r>
      <w:r>
        <w:t xml:space="preserve"> </w:t>
      </w:r>
      <w:r>
        <w:t xml:space="preserve">Analysis</w:t>
      </w:r>
      <w:r>
        <w:t xml:space="preserve"> </w:t>
      </w:r>
      <w:r>
        <w:t xml:space="preserve">of</w:t>
      </w:r>
      <w:r>
        <w:t xml:space="preserve"> </w:t>
      </w:r>
      <w:r>
        <w:t xml:space="preserve">Light-Level</w:t>
      </w:r>
      <w:r>
        <w:t xml:space="preserve"> </w:t>
      </w:r>
      <w:r>
        <w:t xml:space="preserve">Geolocation</w:t>
      </w:r>
      <w:r>
        <w:t xml:space="preserve"> </w:t>
      </w:r>
      <w:r>
        <w:t xml:space="preserve">Data</w:t>
      </w:r>
    </w:p>
    <w:p>
      <w:pPr>
        <w:pStyle w:val="Date"/>
      </w:pPr>
      <w:r>
        <w:t xml:space="preserve">5</w:t>
      </w:r>
      <w:r>
        <w:t xml:space="preserve"> </w:t>
      </w:r>
      <w:r>
        <w:t xml:space="preserve">November</w:t>
      </w:r>
      <w:r>
        <w:t xml:space="preserve"> </w:t>
      </w:r>
      <w:r>
        <w:t xml:space="preserve">2025</w:t>
      </w:r>
    </w:p>
    <w:p>
      <w:pPr>
        <w:pStyle w:val="Heading1"/>
      </w:pPr>
      <w:bookmarkStart w:id="20" w:name="summary"/>
      <w:r>
        <w:t xml:space="preserve">Summary</w:t>
      </w:r>
      <w:bookmarkEnd w:id="20"/>
    </w:p>
    <w:p>
      <w:pPr>
        <w:pStyle w:val="FirstParagraph"/>
      </w:pPr>
      <w:r>
        <w:t xml:space="preserve">Global Location Sensors (GLS) are miniature archival light-level loggers widely used to track long-distance movements of seabirds, migratory birds, and other wildlife.</w:t>
      </w:r>
      <w:r>
        <w:t xml:space="preserve"> </w:t>
      </w:r>
      <w:r>
        <w:t xml:space="preserve">These devices record ambient light levels over time, which can be analyzed to estimate geographic positions based on day</w:t>
      </w:r>
      <w:r>
        <w:t xml:space="preserve"> </w:t>
      </w:r>
      <w:r>
        <w:t xml:space="preserve">length (latitude) and timing of sunrise/sunset (longitude). However, processing GLS data has traditionally been a manual,</w:t>
      </w:r>
      <w:r>
        <w:t xml:space="preserve"> </w:t>
      </w:r>
      <w:r>
        <w:t xml:space="preserve">time-consuming process requiring expertise in multiple R packages and custom scripting for each study.</w:t>
      </w:r>
      <w:r>
        <w:t xml:space="preserve"> </w:t>
      </w:r>
      <w:r>
        <w:rPr>
          <w:rStyle w:val="VerbatimChar"/>
        </w:rPr>
        <w:t xml:space="preserve">glscalibrator</w:t>
      </w:r>
      <w:r>
        <w:t xml:space="preserve"> </w:t>
      </w:r>
      <w:r>
        <w:t xml:space="preserve">addresses this challenge</w:t>
      </w:r>
      <w:r>
        <w:t xml:space="preserve"> </w:t>
      </w:r>
      <w:r>
        <w:t xml:space="preserve">by providing a fully automated workflow that processes entire datasets with a single command, from raw light data to calibrated position</w:t>
      </w:r>
      <w:r>
        <w:t xml:space="preserve"> </w:t>
      </w:r>
      <w:r>
        <w:t xml:space="preserve">estimates and diagnostic visualizations.</w:t>
      </w:r>
    </w:p>
    <w:p>
      <w:pPr>
        <w:pStyle w:val="Heading1"/>
      </w:pPr>
      <w:bookmarkStart w:id="21" w:name="statement-of-need"/>
      <w:r>
        <w:t xml:space="preserve">Statement of Need</w:t>
      </w:r>
      <w:bookmarkEnd w:id="21"/>
    </w:p>
    <w:p>
      <w:pPr>
        <w:pStyle w:val="FirstParagraph"/>
      </w:pPr>
      <w:r>
        <w:t xml:space="preserve">Light-level geolocation is a crucial tool in movement ecology,</w:t>
      </w:r>
      <w:r>
        <w:t xml:space="preserve"> </w:t>
      </w:r>
      <w:r>
        <w:t xml:space="preserve">enabling researchers to track animals over months to years without the size,</w:t>
      </w:r>
      <w:r>
        <w:t xml:space="preserve"> </w:t>
      </w:r>
      <w:r>
        <w:t xml:space="preserve">cost, and battery limitations of GPS devices</w:t>
      </w:r>
      <w:r>
        <w:t xml:space="preserve"> </w:t>
      </w:r>
      <w:r>
        <w:t xml:space="preserve">(Lisovski et al. 2020)</w:t>
      </w:r>
      <w:r>
        <w:t xml:space="preserve">.</w:t>
      </w:r>
      <w:r>
        <w:t xml:space="preserve"> </w:t>
      </w:r>
      <w:r>
        <w:t xml:space="preserve">However, the analytical workflow presents significant barriers</w:t>
      </w:r>
      <w:r>
        <w:t xml:space="preserve"> </w:t>
      </w:r>
      <w:r>
        <w:t xml:space="preserve">to entry and reproducibility. Existing R packages such as</w:t>
      </w:r>
      <w:r>
        <w:t xml:space="preserve"> </w:t>
      </w:r>
      <w:r>
        <w:rPr>
          <w:rStyle w:val="VerbatimChar"/>
        </w:rPr>
        <w:t xml:space="preserve">SGAT</w:t>
      </w:r>
      <w:r>
        <w:t xml:space="preserve"> </w:t>
      </w:r>
      <w:r>
        <w:t xml:space="preserve">(Wotherspoon, Sumner, and Lisovski 2016)</w:t>
      </w:r>
      <w:r>
        <w:t xml:space="preserve">,</w:t>
      </w:r>
      <w:r>
        <w:t xml:space="preserve"> </w:t>
      </w:r>
      <w:r>
        <w:rPr>
          <w:rStyle w:val="VerbatimChar"/>
        </w:rPr>
        <w:t xml:space="preserve">GeoLight</w:t>
      </w:r>
      <w:r>
        <w:t xml:space="preserve"> </w:t>
      </w:r>
      <w:r>
        <w:t xml:space="preserve">(Lisovski and Hahn 2012)</w:t>
      </w:r>
      <w:r>
        <w:t xml:space="preserve">, and</w:t>
      </w:r>
      <w:r>
        <w:t xml:space="preserve"> </w:t>
      </w:r>
      <w:r>
        <w:rPr>
          <w:rStyle w:val="VerbatimChar"/>
        </w:rPr>
        <w:t xml:space="preserve">TwGeos</w:t>
      </w:r>
      <w:r>
        <w:t xml:space="preserve"> </w:t>
      </w:r>
      <w:r>
        <w:t xml:space="preserve">(Lisovski 2019)</w:t>
      </w:r>
      <w:r>
        <w:t xml:space="preserve"> </w:t>
      </w:r>
      <w:r>
        <w:t xml:space="preserve">provide excellent tools for individual components of the analysis, but researchers must:</w:t>
      </w:r>
    </w:p>
    <w:p>
      <w:pPr>
        <w:numPr>
          <w:ilvl w:val="0"/>
          <w:numId w:val="1001"/>
        </w:numPr>
        <w:pStyle w:val="Compact"/>
      </w:pPr>
      <w:r>
        <w:rPr>
          <w:b/>
        </w:rPr>
        <w:t xml:space="preserve">Manually specify calibration periods</w:t>
      </w:r>
      <w:r>
        <w:t xml:space="preserve"> </w:t>
      </w:r>
      <w:r>
        <w:t xml:space="preserve">- determining when the device was at a known location requires examining data and ecological knowledge</w:t>
      </w:r>
    </w:p>
    <w:p>
      <w:pPr>
        <w:numPr>
          <w:ilvl w:val="0"/>
          <w:numId w:val="1001"/>
        </w:numPr>
        <w:pStyle w:val="Compact"/>
      </w:pPr>
      <w:r>
        <w:rPr>
          <w:b/>
        </w:rPr>
        <w:t xml:space="preserve">Write custom scripts for batch processing</w:t>
      </w:r>
      <w:r>
        <w:t xml:space="preserve"> </w:t>
      </w:r>
      <w:r>
        <w:t xml:space="preserve">- processing multiple individuals requires loops and custom code</w:t>
      </w:r>
    </w:p>
    <w:p>
      <w:pPr>
        <w:numPr>
          <w:ilvl w:val="0"/>
          <w:numId w:val="1001"/>
        </w:numPr>
        <w:pStyle w:val="Compact"/>
      </w:pPr>
      <w:r>
        <w:rPr>
          <w:b/>
        </w:rPr>
        <w:t xml:space="preserve">Manually create standardized outputs</w:t>
      </w:r>
      <w:r>
        <w:t xml:space="preserve"> </w:t>
      </w:r>
      <w:r>
        <w:t xml:space="preserve">- combining results and generating consistent visualizations is left to the researcher</w:t>
      </w:r>
    </w:p>
    <w:p>
      <w:pPr>
        <w:numPr>
          <w:ilvl w:val="0"/>
          <w:numId w:val="1001"/>
        </w:numPr>
        <w:pStyle w:val="Compact"/>
      </w:pPr>
      <w:r>
        <w:rPr>
          <w:b/>
        </w:rPr>
        <w:t xml:space="preserve">Individually troubleshoot failures</w:t>
      </w:r>
      <w:r>
        <w:t xml:space="preserve"> </w:t>
      </w:r>
      <w:r>
        <w:t xml:space="preserve">- identifying and resolving issues requires examining each device separately</w:t>
      </w:r>
    </w:p>
    <w:p>
      <w:pPr>
        <w:pStyle w:val="FirstParagraph"/>
      </w:pPr>
      <w:r>
        <w:t xml:space="preserve">These requirements create several problems:</w:t>
      </w:r>
    </w:p>
    <w:p>
      <w:pPr>
        <w:numPr>
          <w:ilvl w:val="0"/>
          <w:numId w:val="1002"/>
        </w:numPr>
        <w:pStyle w:val="Compact"/>
      </w:pPr>
      <w:r>
        <w:rPr>
          <w:b/>
        </w:rPr>
        <w:t xml:space="preserve">High barrier to entry</w:t>
      </w:r>
      <w:r>
        <w:t xml:space="preserve"> </w:t>
      </w:r>
      <w:r>
        <w:t xml:space="preserve">for new researchers and students</w:t>
      </w:r>
    </w:p>
    <w:p>
      <w:pPr>
        <w:numPr>
          <w:ilvl w:val="0"/>
          <w:numId w:val="1002"/>
        </w:numPr>
        <w:pStyle w:val="Compact"/>
      </w:pPr>
      <w:r>
        <w:rPr>
          <w:b/>
        </w:rPr>
        <w:t xml:space="preserve">Time-intensive workflow</w:t>
      </w:r>
      <w:r>
        <w:t xml:space="preserve"> </w:t>
      </w:r>
      <w:r>
        <w:t xml:space="preserve">- processing 25 birds can take several days</w:t>
      </w:r>
    </w:p>
    <w:p>
      <w:pPr>
        <w:numPr>
          <w:ilvl w:val="0"/>
          <w:numId w:val="1002"/>
        </w:numPr>
        <w:pStyle w:val="Compact"/>
      </w:pPr>
      <w:r>
        <w:rPr>
          <w:b/>
        </w:rPr>
        <w:t xml:space="preserve">Reduced reproducibility</w:t>
      </w:r>
      <w:r>
        <w:t xml:space="preserve"> </w:t>
      </w:r>
      <w:r>
        <w:t xml:space="preserve">- custom scripts vary between studies and researchers</w:t>
      </w:r>
    </w:p>
    <w:p>
      <w:pPr>
        <w:numPr>
          <w:ilvl w:val="0"/>
          <w:numId w:val="1002"/>
        </w:numPr>
        <w:pStyle w:val="Compact"/>
      </w:pPr>
      <w:r>
        <w:rPr>
          <w:b/>
        </w:rPr>
        <w:t xml:space="preserve">Inconsistent quality control</w:t>
      </w:r>
      <w:r>
        <w:t xml:space="preserve"> </w:t>
      </w:r>
      <w:r>
        <w:t xml:space="preserve">- manual processes are prone to errors and oversights</w:t>
      </w:r>
    </w:p>
    <w:p>
      <w:pPr>
        <w:pStyle w:val="FirstParagraph"/>
      </w:pPr>
      <w:r>
        <w:rPr>
          <w:rStyle w:val="VerbatimChar"/>
        </w:rPr>
        <w:t xml:space="preserve">glscalibrator</w:t>
      </w:r>
      <w:r>
        <w:t xml:space="preserve"> </w:t>
      </w:r>
      <w:r>
        <w:t xml:space="preserve">fills this gap by providing an end-to-end automated solution that:</w:t>
      </w:r>
    </w:p>
    <w:p>
      <w:pPr>
        <w:numPr>
          <w:ilvl w:val="0"/>
          <w:numId w:val="1003"/>
        </w:numPr>
        <w:pStyle w:val="Compact"/>
      </w:pPr>
      <w:r>
        <w:rPr>
          <w:b/>
        </w:rPr>
        <w:t xml:space="preserve">Auto-discovers</w:t>
      </w:r>
      <w:r>
        <w:t xml:space="preserve"> </w:t>
      </w:r>
      <w:r>
        <w:t xml:space="preserve">all GLS devices from directory structures</w:t>
      </w:r>
    </w:p>
    <w:p>
      <w:pPr>
        <w:numPr>
          <w:ilvl w:val="0"/>
          <w:numId w:val="1003"/>
        </w:numPr>
        <w:pStyle w:val="Compact"/>
      </w:pPr>
      <w:r>
        <w:rPr>
          <w:b/>
        </w:rPr>
        <w:t xml:space="preserve">Automatically detects</w:t>
      </w:r>
      <w:r>
        <w:t xml:space="preserve"> </w:t>
      </w:r>
      <w:r>
        <w:t xml:space="preserve">calibration periods from the first days of deployment</w:t>
      </w:r>
    </w:p>
    <w:p>
      <w:pPr>
        <w:numPr>
          <w:ilvl w:val="0"/>
          <w:numId w:val="1003"/>
        </w:numPr>
        <w:pStyle w:val="Compact"/>
      </w:pPr>
      <w:r>
        <w:rPr>
          <w:b/>
        </w:rPr>
        <w:t xml:space="preserve">Batch processes</w:t>
      </w:r>
      <w:r>
        <w:t xml:space="preserve"> </w:t>
      </w:r>
      <w:r>
        <w:t xml:space="preserve">multiple individuals without manual intervention</w:t>
      </w:r>
    </w:p>
    <w:p>
      <w:pPr>
        <w:numPr>
          <w:ilvl w:val="0"/>
          <w:numId w:val="1003"/>
        </w:numPr>
        <w:pStyle w:val="Compact"/>
      </w:pPr>
      <w:r>
        <w:rPr>
          <w:b/>
        </w:rPr>
        <w:t xml:space="preserve">Generates standardized outputs</w:t>
      </w:r>
      <w:r>
        <w:t xml:space="preserve"> </w:t>
      </w:r>
      <w:r>
        <w:t xml:space="preserve">including position estimates, diagnostic plots, and quality control metrics</w:t>
      </w:r>
    </w:p>
    <w:p>
      <w:pPr>
        <w:numPr>
          <w:ilvl w:val="0"/>
          <w:numId w:val="1003"/>
        </w:numPr>
        <w:pStyle w:val="Compact"/>
      </w:pPr>
      <w:r>
        <w:rPr>
          <w:b/>
        </w:rPr>
        <w:t xml:space="preserve">Implements proven methods</w:t>
      </w:r>
      <w:r>
        <w:t xml:space="preserve"> </w:t>
      </w:r>
      <w:r>
        <w:t xml:space="preserve">from</w:t>
      </w:r>
      <w:r>
        <w:t xml:space="preserve"> </w:t>
      </w:r>
      <w:r>
        <w:rPr>
          <w:rStyle w:val="VerbatimChar"/>
        </w:rPr>
        <w:t xml:space="preserve">TwGeos</w:t>
      </w:r>
      <w:r>
        <w:t xml:space="preserve">,</w:t>
      </w:r>
      <w:r>
        <w:t xml:space="preserve"> </w:t>
      </w:r>
      <w:r>
        <w:rPr>
          <w:rStyle w:val="VerbatimChar"/>
        </w:rPr>
        <w:t xml:space="preserve">GeoLight</w:t>
      </w:r>
      <w:r>
        <w:t xml:space="preserve">, and</w:t>
      </w:r>
      <w:r>
        <w:t xml:space="preserve"> </w:t>
      </w:r>
      <w:r>
        <w:rPr>
          <w:rStyle w:val="VerbatimChar"/>
        </w:rPr>
        <w:t xml:space="preserve">SGAT</w:t>
      </w:r>
      <w:r>
        <w:t xml:space="preserve"> </w:t>
      </w:r>
      <w:r>
        <w:t xml:space="preserve">packages</w:t>
      </w:r>
    </w:p>
    <w:p>
      <w:pPr>
        <w:pStyle w:val="FirstParagraph"/>
      </w:pPr>
      <w:r>
        <w:t xml:space="preserve">This automation transforms a multi-day manual process into a single-command workflow, making GLS analysis more accessible, reproducible, and efficient.</w:t>
      </w:r>
    </w:p>
    <w:p>
      <w:pPr>
        <w:pStyle w:val="Heading1"/>
      </w:pPr>
      <w:bookmarkStart w:id="22" w:name="features-and-functionality"/>
      <w:r>
        <w:t xml:space="preserve">Features and Functionality</w:t>
      </w:r>
      <w:bookmarkEnd w:id="22"/>
    </w:p>
    <w:p>
      <w:pPr>
        <w:pStyle w:val="Heading2"/>
      </w:pPr>
      <w:bookmarkStart w:id="23" w:name="core-workflow"/>
      <w:r>
        <w:t xml:space="preserve">Core Workflow</w:t>
      </w:r>
      <w:bookmarkEnd w:id="23"/>
    </w:p>
    <w:p>
      <w:pPr>
        <w:pStyle w:val="FirstParagraph"/>
      </w:pPr>
      <w:r>
        <w:t xml:space="preserve">The</w:t>
      </w:r>
      <w:r>
        <w:t xml:space="preserve"> </w:t>
      </w:r>
      <w:r>
        <w:rPr>
          <w:rStyle w:val="VerbatimChar"/>
        </w:rPr>
        <w:t xml:space="preserve">calibrate_gls_batch()</w:t>
      </w:r>
      <w:r>
        <w:t xml:space="preserve"> </w:t>
      </w:r>
      <w:r>
        <w:t xml:space="preserve">function implements a complete automated workflow:</w:t>
      </w:r>
    </w:p>
    <w:p>
      <w:pPr>
        <w:pStyle w:val="SourceCode"/>
      </w:pPr>
      <w:r>
        <w:rPr>
          <w:rStyle w:val="NormalTok"/>
        </w:rPr>
        <w:t xml:space="preserve">results &lt;-</w:t>
      </w:r>
      <w:r>
        <w:rPr>
          <w:rStyle w:val="StringTok"/>
        </w:rPr>
        <w:t xml:space="preserve"> </w:t>
      </w:r>
      <w:r>
        <w:rPr>
          <w:rStyle w:val="KeywordTok"/>
        </w:rPr>
        <w:t xml:space="preserve">calibrate_gls_batch</w:t>
      </w:r>
      <w:r>
        <w:rPr>
          <w:rStyle w:val="NormalTok"/>
        </w:rPr>
        <w:t xml:space="preserve">(</w:t>
      </w:r>
      <w:r>
        <w:br/>
      </w:r>
      <w:r>
        <w:rPr>
          <w:rStyle w:val="NormalTok"/>
        </w:rPr>
        <w:t xml:space="preserve">  </w:t>
      </w:r>
      <w:r>
        <w:rPr>
          <w:rStyle w:val="DataTypeTok"/>
        </w:rPr>
        <w:t xml:space="preserve">data_dir =</w:t>
      </w:r>
      <w:r>
        <w:rPr>
          <w:rStyle w:val="NormalTok"/>
        </w:rPr>
        <w:t xml:space="preserve"> </w:t>
      </w:r>
      <w:r>
        <w:rPr>
          <w:rStyle w:val="StringTok"/>
        </w:rPr>
        <w:t xml:space="preserve">"data/raw/birds"</w:t>
      </w:r>
      <w:r>
        <w:rPr>
          <w:rStyle w:val="NormalTok"/>
        </w:rPr>
        <w:t xml:space="preserve">,</w:t>
      </w:r>
      <w:r>
        <w:br/>
      </w:r>
      <w:r>
        <w:rPr>
          <w:rStyle w:val="NormalTok"/>
        </w:rPr>
        <w:t xml:space="preserve">  </w:t>
      </w:r>
      <w:r>
        <w:rPr>
          <w:rStyle w:val="DataTypeTok"/>
        </w:rPr>
        <w:t xml:space="preserve">output_dir =</w:t>
      </w:r>
      <w:r>
        <w:rPr>
          <w:rStyle w:val="NormalTok"/>
        </w:rPr>
        <w:t xml:space="preserve"> </w:t>
      </w:r>
      <w:r>
        <w:rPr>
          <w:rStyle w:val="StringTok"/>
        </w:rPr>
        <w:t xml:space="preserve">"data/processed/calibration"</w:t>
      </w:r>
      <w:r>
        <w:rPr>
          <w:rStyle w:val="NormalTok"/>
        </w:rPr>
        <w:t xml:space="preserve">,</w:t>
      </w:r>
      <w:r>
        <w:br/>
      </w:r>
      <w:r>
        <w:rPr>
          <w:rStyle w:val="NormalTok"/>
        </w:rPr>
        <w:t xml:space="preserve">  </w:t>
      </w:r>
      <w:r>
        <w:rPr>
          <w:rStyle w:val="DataTypeTok"/>
        </w:rPr>
        <w:t xml:space="preserve">colony_lat =</w:t>
      </w:r>
      <w:r>
        <w:rPr>
          <w:rStyle w:val="NormalTok"/>
        </w:rPr>
        <w:t xml:space="preserve"> </w:t>
      </w:r>
      <w:r>
        <w:rPr>
          <w:rStyle w:val="FloatTok"/>
        </w:rPr>
        <w:t xml:space="preserve">27.85178</w:t>
      </w:r>
      <w:r>
        <w:rPr>
          <w:rStyle w:val="NormalTok"/>
        </w:rPr>
        <w:t xml:space="preserve">,</w:t>
      </w:r>
      <w:r>
        <w:br/>
      </w:r>
      <w:r>
        <w:rPr>
          <w:rStyle w:val="NormalTok"/>
        </w:rPr>
        <w:t xml:space="preserve">  </w:t>
      </w:r>
      <w:r>
        <w:rPr>
          <w:rStyle w:val="DataTypeTok"/>
        </w:rPr>
        <w:t xml:space="preserve">colony_lon =</w:t>
      </w:r>
      <w:r>
        <w:rPr>
          <w:rStyle w:val="NormalTok"/>
        </w:rPr>
        <w:t xml:space="preserve"> </w:t>
      </w:r>
      <w:r>
        <w:rPr>
          <w:rStyle w:val="FloatTok"/>
        </w:rPr>
        <w:t xml:space="preserve">-115.17390</w:t>
      </w:r>
      <w:r>
        <w:br/>
      </w:r>
      <w:r>
        <w:rPr>
          <w:rStyle w:val="NormalTok"/>
        </w:rPr>
        <w:t xml:space="preserve">)</w:t>
      </w:r>
    </w:p>
    <w:p>
      <w:pPr>
        <w:pStyle w:val="FirstParagraph"/>
      </w:pPr>
      <w:r>
        <w:t xml:space="preserve">This single command:</w:t>
      </w:r>
    </w:p>
    <w:p>
      <w:pPr>
        <w:numPr>
          <w:ilvl w:val="0"/>
          <w:numId w:val="1004"/>
        </w:numPr>
        <w:pStyle w:val="Compact"/>
      </w:pPr>
      <w:r>
        <w:rPr>
          <w:b/>
        </w:rPr>
        <w:t xml:space="preserve">Auto-discovers</w:t>
      </w:r>
      <w:r>
        <w:t xml:space="preserve"> </w:t>
      </w:r>
      <w:r>
        <w:t xml:space="preserve">all</w:t>
      </w:r>
      <w:r>
        <w:t xml:space="preserve"> </w:t>
      </w:r>
      <w:r>
        <w:rPr>
          <w:rStyle w:val="VerbatimChar"/>
        </w:rPr>
        <w:t xml:space="preserve">.lux</w:t>
      </w:r>
      <w:r>
        <w:t xml:space="preserve"> </w:t>
      </w:r>
      <w:r>
        <w:t xml:space="preserve">files in the data directory</w:t>
      </w:r>
    </w:p>
    <w:p>
      <w:pPr>
        <w:numPr>
          <w:ilvl w:val="0"/>
          <w:numId w:val="1004"/>
        </w:numPr>
        <w:pStyle w:val="Compact"/>
      </w:pPr>
      <w:r>
        <w:t xml:space="preserve">For each device:</w:t>
      </w:r>
    </w:p>
    <w:p>
      <w:pPr>
        <w:numPr>
          <w:ilvl w:val="1"/>
          <w:numId w:val="1005"/>
        </w:numPr>
        <w:pStyle w:val="Compact"/>
      </w:pPr>
      <w:r>
        <w:t xml:space="preserve">Reads and parses light intensity data</w:t>
      </w:r>
    </w:p>
    <w:p>
      <w:pPr>
        <w:numPr>
          <w:ilvl w:val="1"/>
          <w:numId w:val="1005"/>
        </w:numPr>
        <w:pStyle w:val="Compact"/>
      </w:pPr>
      <w:r>
        <w:t xml:space="preserve">Auto-detects calibration period (first 1-5 days)</w:t>
      </w:r>
    </w:p>
    <w:p>
      <w:pPr>
        <w:numPr>
          <w:ilvl w:val="1"/>
          <w:numId w:val="1005"/>
        </w:numPr>
        <w:pStyle w:val="Compact"/>
      </w:pPr>
      <w:r>
        <w:t xml:space="preserve">Detects twilight times using threshold-crossing method</w:t>
      </w:r>
    </w:p>
    <w:p>
      <w:pPr>
        <w:numPr>
          <w:ilvl w:val="1"/>
          <w:numId w:val="1005"/>
        </w:numPr>
        <w:pStyle w:val="Compact"/>
      </w:pPr>
      <w:r>
        <w:t xml:space="preserve">Filters spurious twilights using temporal and quality criteria</w:t>
      </w:r>
    </w:p>
    <w:p>
      <w:pPr>
        <w:numPr>
          <w:ilvl w:val="1"/>
          <w:numId w:val="1005"/>
        </w:numPr>
        <w:pStyle w:val="Compact"/>
      </w:pPr>
      <w:r>
        <w:t xml:space="preserve">Performs TwGeos gamma calibration</w:t>
      </w:r>
      <w:r>
        <w:t xml:space="preserve"> </w:t>
      </w:r>
      <w:r>
        <w:t xml:space="preserve">(Lisovski 2019)</w:t>
      </w:r>
    </w:p>
    <w:p>
      <w:pPr>
        <w:numPr>
          <w:ilvl w:val="1"/>
          <w:numId w:val="1005"/>
        </w:numPr>
        <w:pStyle w:val="Compact"/>
      </w:pPr>
      <w:r>
        <w:t xml:space="preserve">Calculates positions using threshold method</w:t>
      </w:r>
      <w:r>
        <w:t xml:space="preserve"> </w:t>
      </w:r>
      <w:r>
        <w:t xml:space="preserve">(Hill and Braun 1994)</w:t>
      </w:r>
    </w:p>
    <w:p>
      <w:pPr>
        <w:numPr>
          <w:ilvl w:val="1"/>
          <w:numId w:val="1005"/>
        </w:numPr>
        <w:pStyle w:val="Compact"/>
      </w:pPr>
      <w:r>
        <w:t xml:space="preserve">Generates diagnostic plots (calibration and track maps)</w:t>
      </w:r>
    </w:p>
    <w:p>
      <w:pPr>
        <w:numPr>
          <w:ilvl w:val="0"/>
          <w:numId w:val="1004"/>
        </w:numPr>
        <w:pStyle w:val="Compact"/>
      </w:pPr>
      <w:r>
        <w:rPr>
          <w:b/>
        </w:rPr>
        <w:t xml:space="preserve">Combines results</w:t>
      </w:r>
      <w:r>
        <w:t xml:space="preserve"> </w:t>
      </w:r>
      <w:r>
        <w:t xml:space="preserve">into standardized formats (GLSmergedata.csv)</w:t>
      </w:r>
    </w:p>
    <w:p>
      <w:pPr>
        <w:numPr>
          <w:ilvl w:val="0"/>
          <w:numId w:val="1004"/>
        </w:numPr>
        <w:pStyle w:val="Compact"/>
      </w:pPr>
      <w:r>
        <w:rPr>
          <w:b/>
        </w:rPr>
        <w:t xml:space="preserve">Creates quality control metrics</w:t>
      </w:r>
      <w:r>
        <w:t xml:space="preserve"> </w:t>
      </w:r>
      <w:r>
        <w:t xml:space="preserve">including hemisphere checks and summary statistics</w:t>
      </w:r>
    </w:p>
    <w:p>
      <w:pPr>
        <w:pStyle w:val="Heading2"/>
      </w:pPr>
      <w:bookmarkStart w:id="24" w:name="intelligent-auto-calibration"/>
      <w:r>
        <w:t xml:space="preserve">Intelligent Auto-Calibration</w:t>
      </w:r>
      <w:bookmarkEnd w:id="24"/>
    </w:p>
    <w:p>
      <w:pPr>
        <w:pStyle w:val="FirstParagraph"/>
      </w:pPr>
      <w:r>
        <w:t xml:space="preserve">A key innovation is automatic detection of calibration periods. The function searches the first 1-5 days of data for stable periods where the device was at the known colony location, automatically identifying sufficient twilight events for calibration. This eliminates the need for manual data inspection while ensuring robust calibration.</w:t>
      </w:r>
    </w:p>
    <w:p>
      <w:pPr>
        <w:pStyle w:val="Heading2"/>
      </w:pPr>
      <w:bookmarkStart w:id="25" w:name="quality-control"/>
      <w:r>
        <w:t xml:space="preserve">Quality Control</w:t>
      </w:r>
      <w:bookmarkEnd w:id="25"/>
    </w:p>
    <w:p>
      <w:pPr>
        <w:pStyle w:val="FirstParagraph"/>
      </w:pPr>
      <w:r>
        <w:t xml:space="preserve">The package implements multiple quality control steps:</w:t>
      </w:r>
    </w:p>
    <w:p>
      <w:pPr>
        <w:numPr>
          <w:ilvl w:val="0"/>
          <w:numId w:val="1006"/>
        </w:numPr>
        <w:pStyle w:val="Compact"/>
      </w:pPr>
      <w:r>
        <w:rPr>
          <w:b/>
        </w:rPr>
        <w:t xml:space="preserve">Twilight filtering</w:t>
      </w:r>
      <w:r>
        <w:t xml:space="preserve">: Removes events &lt; 1 hour apart and with unusual intervals</w:t>
      </w:r>
    </w:p>
    <w:p>
      <w:pPr>
        <w:numPr>
          <w:ilvl w:val="0"/>
          <w:numId w:val="1006"/>
        </w:numPr>
        <w:pStyle w:val="Compact"/>
      </w:pPr>
      <w:r>
        <w:rPr>
          <w:b/>
        </w:rPr>
        <w:t xml:space="preserve">Position filtering</w:t>
      </w:r>
      <w:r>
        <w:t xml:space="preserve">: Excludes impossible coordinates and optionally removes equinox periods</w:t>
      </w:r>
    </w:p>
    <w:p>
      <w:pPr>
        <w:numPr>
          <w:ilvl w:val="0"/>
          <w:numId w:val="1006"/>
        </w:numPr>
        <w:pStyle w:val="Compact"/>
      </w:pPr>
      <w:r>
        <w:rPr>
          <w:b/>
        </w:rPr>
        <w:t xml:space="preserve">Hemisphere validation</w:t>
      </w:r>
      <w:r>
        <w:t xml:space="preserve">: Checks that positions fall in expected hemisphere</w:t>
      </w:r>
    </w:p>
    <w:p>
      <w:pPr>
        <w:numPr>
          <w:ilvl w:val="0"/>
          <w:numId w:val="1006"/>
        </w:numPr>
        <w:pStyle w:val="Compact"/>
      </w:pPr>
      <w:r>
        <w:rPr>
          <w:b/>
        </w:rPr>
        <w:t xml:space="preserve">Diagnostic visualizations</w:t>
      </w:r>
      <w:r>
        <w:t xml:space="preserve">: Generates plots showing light curves, twilights, and tracks</w:t>
      </w:r>
    </w:p>
    <w:p>
      <w:pPr>
        <w:numPr>
          <w:ilvl w:val="0"/>
          <w:numId w:val="1006"/>
        </w:numPr>
        <w:pStyle w:val="Compact"/>
      </w:pPr>
      <w:r>
        <w:rPr>
          <w:b/>
        </w:rPr>
        <w:t xml:space="preserve">Processing logs</w:t>
      </w:r>
      <w:r>
        <w:t xml:space="preserve">: Records successes, failures, and error messages for troubleshooting</w:t>
      </w:r>
    </w:p>
    <w:p>
      <w:pPr>
        <w:pStyle w:val="Heading2"/>
      </w:pPr>
      <w:bookmarkStart w:id="26" w:name="modular-design"/>
      <w:r>
        <w:t xml:space="preserve">Modular Design</w:t>
      </w:r>
      <w:bookmarkEnd w:id="26"/>
    </w:p>
    <w:p>
      <w:pPr>
        <w:pStyle w:val="FirstParagraph"/>
      </w:pPr>
      <w:r>
        <w:t xml:space="preserve">While the batch function provides full automation, individual functions can be used for custom workflows:</w:t>
      </w:r>
    </w:p>
    <w:p>
      <w:pPr>
        <w:numPr>
          <w:ilvl w:val="0"/>
          <w:numId w:val="1007"/>
        </w:numPr>
        <w:pStyle w:val="Compact"/>
      </w:pPr>
      <w:r>
        <w:rPr>
          <w:rStyle w:val="VerbatimChar"/>
        </w:rPr>
        <w:t xml:space="preserve">read_lux_file()</w:t>
      </w:r>
      <w:r>
        <w:t xml:space="preserve">: Parse .lux files</w:t>
      </w:r>
    </w:p>
    <w:p>
      <w:pPr>
        <w:numPr>
          <w:ilvl w:val="0"/>
          <w:numId w:val="1007"/>
        </w:numPr>
        <w:pStyle w:val="Compact"/>
      </w:pPr>
      <w:r>
        <w:rPr>
          <w:rStyle w:val="VerbatimChar"/>
        </w:rPr>
        <w:t xml:space="preserve">detect_twilights()</w:t>
      </w:r>
      <w:r>
        <w:t xml:space="preserve">: Threshold-crossing twilight detection</w:t>
      </w:r>
    </w:p>
    <w:p>
      <w:pPr>
        <w:numPr>
          <w:ilvl w:val="0"/>
          <w:numId w:val="1007"/>
        </w:numPr>
        <w:pStyle w:val="Compact"/>
      </w:pPr>
      <w:r>
        <w:rPr>
          <w:rStyle w:val="VerbatimChar"/>
        </w:rPr>
        <w:t xml:space="preserve">filter_twilights()</w:t>
      </w:r>
      <w:r>
        <w:t xml:space="preserve">: Quality filtering of twilights</w:t>
      </w:r>
    </w:p>
    <w:p>
      <w:pPr>
        <w:numPr>
          <w:ilvl w:val="0"/>
          <w:numId w:val="1007"/>
        </w:numPr>
        <w:pStyle w:val="Compact"/>
      </w:pPr>
      <w:r>
        <w:rPr>
          <w:rStyle w:val="VerbatimChar"/>
        </w:rPr>
        <w:t xml:space="preserve">auto_detect_calibration()</w:t>
      </w:r>
      <w:r>
        <w:t xml:space="preserve">: Automatic calibration period detection</w:t>
      </w:r>
    </w:p>
    <w:p>
      <w:pPr>
        <w:numPr>
          <w:ilvl w:val="0"/>
          <w:numId w:val="1007"/>
        </w:numPr>
        <w:pStyle w:val="Compact"/>
      </w:pPr>
      <w:r>
        <w:rPr>
          <w:rStyle w:val="VerbatimChar"/>
        </w:rPr>
        <w:t xml:space="preserve">convert_to_glsmerge()</w:t>
      </w:r>
      <w:r>
        <w:t xml:space="preserve">: Standardize output format</w:t>
      </w:r>
    </w:p>
    <w:p>
      <w:pPr>
        <w:numPr>
          <w:ilvl w:val="0"/>
          <w:numId w:val="1007"/>
        </w:numPr>
        <w:pStyle w:val="Compact"/>
      </w:pPr>
      <w:r>
        <w:rPr>
          <w:rStyle w:val="VerbatimChar"/>
        </w:rPr>
        <w:t xml:space="preserve">plot_calibration()</w:t>
      </w:r>
      <w:r>
        <w:t xml:space="preserve"> </w:t>
      </w:r>
      <w:r>
        <w:t xml:space="preserve">and</w:t>
      </w:r>
      <w:r>
        <w:t xml:space="preserve"> </w:t>
      </w:r>
      <w:r>
        <w:rPr>
          <w:rStyle w:val="VerbatimChar"/>
        </w:rPr>
        <w:t xml:space="preserve">plot_track()</w:t>
      </w:r>
      <w:r>
        <w:t xml:space="preserve">: Generate visualizations</w:t>
      </w:r>
    </w:p>
    <w:p>
      <w:pPr>
        <w:pStyle w:val="Heading1"/>
      </w:pPr>
      <w:bookmarkStart w:id="27" w:name="implementation-and-performance"/>
      <w:r>
        <w:t xml:space="preserve">Implementation and Performance</w:t>
      </w:r>
      <w:bookmarkEnd w:id="27"/>
    </w:p>
    <w:p>
      <w:pPr>
        <w:pStyle w:val="FirstParagraph"/>
      </w:pPr>
      <w:r>
        <w:rPr>
          <w:rStyle w:val="VerbatimChar"/>
        </w:rPr>
        <w:t xml:space="preserve">glscalibrator</w:t>
      </w:r>
      <w:r>
        <w:t xml:space="preserve"> </w:t>
      </w:r>
      <w:r>
        <w:t xml:space="preserve">is implemented in R and builds on established packages:</w:t>
      </w:r>
    </w:p>
    <w:p>
      <w:pPr>
        <w:numPr>
          <w:ilvl w:val="0"/>
          <w:numId w:val="1008"/>
        </w:numPr>
        <w:pStyle w:val="Compact"/>
      </w:pPr>
      <w:r>
        <w:rPr>
          <w:b/>
        </w:rPr>
        <w:t xml:space="preserve">TwGeos</w:t>
      </w:r>
      <w:r>
        <w:t xml:space="preserve">: Gamma calibration and light data processing</w:t>
      </w:r>
      <w:r>
        <w:t xml:space="preserve"> </w:t>
      </w:r>
      <w:r>
        <w:t xml:space="preserve">(Lisovski 2019)</w:t>
      </w:r>
    </w:p>
    <w:p>
      <w:pPr>
        <w:numPr>
          <w:ilvl w:val="0"/>
          <w:numId w:val="1008"/>
        </w:numPr>
        <w:pStyle w:val="Compact"/>
      </w:pPr>
      <w:r>
        <w:rPr>
          <w:b/>
        </w:rPr>
        <w:t xml:space="preserve">GeoLight</w:t>
      </w:r>
      <w:r>
        <w:t xml:space="preserve">: Position estimation via threshold method</w:t>
      </w:r>
      <w:r>
        <w:t xml:space="preserve"> </w:t>
      </w:r>
      <w:r>
        <w:t xml:space="preserve">(Lisovski and Hahn 2012)</w:t>
      </w:r>
    </w:p>
    <w:p>
      <w:pPr>
        <w:numPr>
          <w:ilvl w:val="0"/>
          <w:numId w:val="1008"/>
        </w:numPr>
        <w:pStyle w:val="Compact"/>
      </w:pPr>
      <w:r>
        <w:rPr>
          <w:b/>
        </w:rPr>
        <w:t xml:space="preserve">SGAT</w:t>
      </w:r>
      <w:r>
        <w:t xml:space="preserve">: Reference implementations for twilight analysis and manual workflows</w:t>
      </w:r>
      <w:r>
        <w:t xml:space="preserve"> </w:t>
      </w:r>
      <w:r>
        <w:t xml:space="preserve">(Wotherspoon, Sumner, and Lisovski 2016)</w:t>
      </w:r>
    </w:p>
    <w:p>
      <w:pPr>
        <w:numPr>
          <w:ilvl w:val="0"/>
          <w:numId w:val="1008"/>
        </w:numPr>
        <w:pStyle w:val="Compact"/>
      </w:pPr>
      <w:r>
        <w:rPr>
          <w:b/>
        </w:rPr>
        <w:t xml:space="preserve">tidyverse</w:t>
      </w:r>
      <w:r>
        <w:t xml:space="preserve">: Data manipulation and workflow management</w:t>
      </w:r>
    </w:p>
    <w:p>
      <w:pPr>
        <w:pStyle w:val="FirstParagraph"/>
      </w:pPr>
      <w:r>
        <w:t xml:space="preserve">The package has been validated on datasets of 25+ seabirds,</w:t>
      </w:r>
      <w:r>
        <w:t xml:space="preserve"> </w:t>
      </w:r>
      <w:r>
        <w:t xml:space="preserve">successfully processing 96% of devices (25/26) with appropriate error handling for the remaining cases.</w:t>
      </w:r>
      <w:r>
        <w:t xml:space="preserve"> </w:t>
      </w:r>
      <w:r>
        <w:t xml:space="preserve">Processing time is ~30-60 seconds per bird on a laptop, making batch processing of large datasets practical.</w:t>
      </w:r>
    </w:p>
    <w:p>
      <w:pPr>
        <w:pStyle w:val="Heading1"/>
      </w:pPr>
      <w:bookmarkStart w:id="28" w:name="use-cases-and-impact"/>
      <w:r>
        <w:t xml:space="preserve">Use Cases and Impact</w:t>
      </w:r>
      <w:bookmarkEnd w:id="28"/>
    </w:p>
    <w:p>
      <w:pPr>
        <w:pStyle w:val="FirstParagraph"/>
      </w:pPr>
      <w:r>
        <w:rPr>
          <w:rStyle w:val="VerbatimChar"/>
        </w:rPr>
        <w:t xml:space="preserve">glscalibrator</w:t>
      </w:r>
      <w:r>
        <w:t xml:space="preserve"> </w:t>
      </w:r>
      <w:r>
        <w:t xml:space="preserve">is designed for:</w:t>
      </w:r>
    </w:p>
    <w:p>
      <w:pPr>
        <w:numPr>
          <w:ilvl w:val="0"/>
          <w:numId w:val="1009"/>
        </w:numPr>
        <w:pStyle w:val="Compact"/>
      </w:pPr>
      <w:r>
        <w:rPr>
          <w:b/>
        </w:rPr>
        <w:t xml:space="preserve">Seabird researchers</w:t>
      </w:r>
      <w:r>
        <w:t xml:space="preserve"> </w:t>
      </w:r>
      <w:r>
        <w:t xml:space="preserve">tracking albatrosses, petrels, shearwaters, and other pelagic species</w:t>
      </w:r>
    </w:p>
    <w:p>
      <w:pPr>
        <w:numPr>
          <w:ilvl w:val="0"/>
          <w:numId w:val="1009"/>
        </w:numPr>
        <w:pStyle w:val="Compact"/>
      </w:pPr>
      <w:r>
        <w:rPr>
          <w:b/>
        </w:rPr>
        <w:t xml:space="preserve">Migration ecologists</w:t>
      </w:r>
      <w:r>
        <w:t xml:space="preserve"> </w:t>
      </w:r>
      <w:r>
        <w:t xml:space="preserve">studying migratory birds and bats</w:t>
      </w:r>
    </w:p>
    <w:p>
      <w:pPr>
        <w:numPr>
          <w:ilvl w:val="0"/>
          <w:numId w:val="1009"/>
        </w:numPr>
        <w:pStyle w:val="Compact"/>
      </w:pPr>
      <w:r>
        <w:rPr>
          <w:b/>
        </w:rPr>
        <w:t xml:space="preserve">Marine ecologists</w:t>
      </w:r>
      <w:r>
        <w:t xml:space="preserve"> </w:t>
      </w:r>
      <w:r>
        <w:t xml:space="preserve">investigating animal-environment interactions</w:t>
      </w:r>
    </w:p>
    <w:p>
      <w:pPr>
        <w:numPr>
          <w:ilvl w:val="0"/>
          <w:numId w:val="1009"/>
        </w:numPr>
        <w:pStyle w:val="Compact"/>
      </w:pPr>
      <w:r>
        <w:rPr>
          <w:b/>
        </w:rPr>
        <w:t xml:space="preserve">Students and early-career researchers</w:t>
      </w:r>
      <w:r>
        <w:t xml:space="preserve"> </w:t>
      </w:r>
      <w:r>
        <w:t xml:space="preserve">learning GLS analysis</w:t>
      </w:r>
    </w:p>
    <w:p>
      <w:pPr>
        <w:numPr>
          <w:ilvl w:val="0"/>
          <w:numId w:val="1009"/>
        </w:numPr>
        <w:pStyle w:val="Compact"/>
      </w:pPr>
      <w:r>
        <w:rPr>
          <w:b/>
        </w:rPr>
        <w:t xml:space="preserve">Large-scale studies</w:t>
      </w:r>
      <w:r>
        <w:t xml:space="preserve"> </w:t>
      </w:r>
      <w:r>
        <w:t xml:space="preserve">requiring consistent processing of many individuals</w:t>
      </w:r>
    </w:p>
    <w:p>
      <w:pPr>
        <w:pStyle w:val="FirstParagraph"/>
      </w:pPr>
      <w:r>
        <w:t xml:space="preserve">The package has been successfully applied to studies of tropical seabirds in the Eastern Pacific,</w:t>
      </w:r>
      <w:r>
        <w:t xml:space="preserve"> </w:t>
      </w:r>
      <w:r>
        <w:t xml:space="preserve">processing deployment and recovery data from multiple years and species. By automating the workflow,</w:t>
      </w:r>
      <w:r>
        <w:t xml:space="preserve"> </w:t>
      </w:r>
      <w:r>
        <w:t xml:space="preserve">researchers can focus on biological interpretation rather than technical implementation.</w:t>
      </w:r>
    </w:p>
    <w:p>
      <w:pPr>
        <w:pStyle w:val="Heading1"/>
      </w:pPr>
      <w:bookmarkStart w:id="29" w:name="comparison-with-existing-tools"/>
      <w:r>
        <w:t xml:space="preserve">Comparison with Existing Tools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SGAT</w:t>
            </w:r>
          </w:p>
        </w:tc>
        <w:tc>
          <w:tcPr>
            <w:tcBorders>
              <w:bottom w:val="single"/>
            </w:tcBorders>
            <w:vAlign w:val="bottom"/>
          </w:tcPr>
          <w:p>
            <w:pPr>
              <w:pStyle w:val="Compact"/>
              <w:jc w:val="left"/>
            </w:pPr>
            <w:r>
              <w:t xml:space="preserve">GeoLight</w:t>
            </w:r>
          </w:p>
        </w:tc>
        <w:tc>
          <w:tcPr>
            <w:tcBorders>
              <w:bottom w:val="single"/>
            </w:tcBorders>
            <w:vAlign w:val="bottom"/>
          </w:tcPr>
          <w:p>
            <w:pPr>
              <w:pStyle w:val="Compact"/>
              <w:jc w:val="left"/>
            </w:pPr>
            <w:r>
              <w:t xml:space="preserve">TwGeos</w:t>
            </w:r>
          </w:p>
        </w:tc>
        <w:tc>
          <w:tcPr>
            <w:tcBorders>
              <w:bottom w:val="single"/>
            </w:tcBorders>
            <w:vAlign w:val="bottom"/>
          </w:tcPr>
          <w:p>
            <w:pPr>
              <w:pStyle w:val="Compact"/>
              <w:jc w:val="left"/>
            </w:pPr>
            <w:r>
              <w:rPr>
                <w:b/>
              </w:rPr>
              <w:t xml:space="preserve">glscalibrator</w:t>
            </w:r>
          </w:p>
        </w:tc>
      </w:tr>
      <w:tr>
        <w:tc>
          <w:p>
            <w:pPr>
              <w:pStyle w:val="Compact"/>
              <w:jc w:val="left"/>
            </w:pPr>
            <w:r>
              <w:t xml:space="preserve">Twilight detection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Gamma calibration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Position estimation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Auto-discover birds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Auto-detect calibration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Batch processing</w:t>
            </w:r>
          </w:p>
        </w:tc>
        <w:tc>
          <w:p>
            <w:pPr>
              <w:pStyle w:val="Compact"/>
              <w:jc w:val="left"/>
            </w:pPr>
            <w:r>
              <w:t xml:space="preserve">Manual</w:t>
            </w:r>
          </w:p>
        </w:tc>
        <w:tc>
          <w:p>
            <w:pPr>
              <w:pStyle w:val="Compact"/>
              <w:jc w:val="left"/>
            </w:pPr>
            <w:r>
              <w:t xml:space="preserve">Manual</w:t>
            </w:r>
          </w:p>
        </w:tc>
        <w:tc>
          <w:p>
            <w:pPr>
              <w:pStyle w:val="Compact"/>
              <w:jc w:val="left"/>
            </w:pPr>
            <w:r>
              <w:t xml:space="preserve">Manual</w:t>
            </w:r>
          </w:p>
        </w:tc>
        <w:tc>
          <w:p>
            <w:pPr>
              <w:pStyle w:val="Compact"/>
              <w:jc w:val="left"/>
            </w:pPr>
            <w:r>
              <w:rPr>
                <w:b/>
              </w:rPr>
              <w:t xml:space="preserve">Automated</w:t>
            </w:r>
          </w:p>
        </w:tc>
      </w:tr>
      <w:tr>
        <w:tc>
          <w:p>
            <w:pPr>
              <w:pStyle w:val="Compact"/>
              <w:jc w:val="left"/>
            </w:pPr>
            <w:r>
              <w:t xml:space="preserve">Standardized output</w:t>
            </w:r>
          </w:p>
        </w:tc>
        <w:tc>
          <w:p>
            <w:pPr>
              <w:pStyle w:val="Compact"/>
              <w:jc w:val="left"/>
            </w:pPr>
            <w:r>
              <w:t xml:space="preserve">Custom</w:t>
            </w:r>
          </w:p>
        </w:tc>
        <w:tc>
          <w:p>
            <w:pPr>
              <w:pStyle w:val="Compact"/>
              <w:jc w:val="left"/>
            </w:pPr>
            <w:r>
              <w:t xml:space="preserve">Custom</w:t>
            </w:r>
          </w:p>
        </w:tc>
        <w:tc>
          <w:p>
            <w:pPr>
              <w:pStyle w:val="Compact"/>
              <w:jc w:val="left"/>
            </w:pPr>
            <w:r>
              <w:t xml:space="preserve">Custom</w:t>
            </w:r>
          </w:p>
        </w:tc>
        <w:tc>
          <w:p>
            <w:pPr>
              <w:pStyle w:val="Compact"/>
              <w:jc w:val="left"/>
            </w:pPr>
            <w:r>
              <w:rPr>
                <w:b/>
              </w:rPr>
              <w:t xml:space="preserve">Built-in</w:t>
            </w:r>
          </w:p>
        </w:tc>
      </w:tr>
      <w:tr>
        <w:tc>
          <w:p>
            <w:pPr>
              <w:pStyle w:val="Compact"/>
              <w:jc w:val="left"/>
            </w:pPr>
            <w:r>
              <w:t xml:space="preserve">Diagnostic plots</w:t>
            </w:r>
          </w:p>
        </w:tc>
        <w:tc>
          <w:p>
            <w:pPr>
              <w:pStyle w:val="Compact"/>
              <w:jc w:val="left"/>
            </w:pPr>
            <w:r>
              <w:t xml:space="preserve">Custom</w:t>
            </w:r>
          </w:p>
        </w:tc>
        <w:tc>
          <w:p>
            <w:pPr>
              <w:pStyle w:val="Compact"/>
              <w:jc w:val="left"/>
            </w:pPr>
            <w:r>
              <w:t xml:space="preserve">Custom</w:t>
            </w:r>
          </w:p>
        </w:tc>
        <w:tc>
          <w:p>
            <w:pPr>
              <w:pStyle w:val="Compact"/>
              <w:jc w:val="left"/>
            </w:pPr>
            <w:r>
              <w:t xml:space="preserve">Custom</w:t>
            </w:r>
          </w:p>
        </w:tc>
        <w:tc>
          <w:p>
            <w:pPr>
              <w:pStyle w:val="Compact"/>
              <w:jc w:val="left"/>
            </w:pPr>
            <w:r>
              <w:rPr>
                <w:b/>
              </w:rPr>
              <w:t xml:space="preserve">Automatic</w:t>
            </w:r>
          </w:p>
        </w:tc>
      </w:tr>
      <w:tr>
        <w:tc>
          <w:p>
            <w:pPr>
              <w:pStyle w:val="Compact"/>
              <w:jc w:val="left"/>
            </w:pPr>
            <w:r>
              <w:t xml:space="preserve">Quality control</w:t>
            </w:r>
          </w:p>
        </w:tc>
        <w:tc>
          <w:p>
            <w:pPr>
              <w:pStyle w:val="Compact"/>
              <w:jc w:val="left"/>
            </w:pPr>
            <w:r>
              <w:t xml:space="preserve">Manual</w:t>
            </w:r>
          </w:p>
        </w:tc>
        <w:tc>
          <w:p>
            <w:pPr>
              <w:pStyle w:val="Compact"/>
              <w:jc w:val="left"/>
            </w:pPr>
            <w:r>
              <w:t xml:space="preserve">Manual</w:t>
            </w:r>
          </w:p>
        </w:tc>
        <w:tc>
          <w:p>
            <w:pPr>
              <w:pStyle w:val="Compact"/>
              <w:jc w:val="left"/>
            </w:pPr>
            <w:r>
              <w:t xml:space="preserve">Manual</w:t>
            </w:r>
          </w:p>
        </w:tc>
        <w:tc>
          <w:p>
            <w:pPr>
              <w:pStyle w:val="Compact"/>
              <w:jc w:val="left"/>
            </w:pPr>
            <w:r>
              <w:rPr>
                <w:b/>
              </w:rPr>
              <w:t xml:space="preserve">Automated</w:t>
            </w:r>
          </w:p>
        </w:tc>
      </w:tr>
    </w:tbl>
    <w:p>
      <w:pPr>
        <w:pStyle w:val="BodyText"/>
      </w:pPr>
      <w:r>
        <w:rPr>
          <w:rStyle w:val="VerbatimChar"/>
        </w:rPr>
        <w:t xml:space="preserve">glscalibrator</w:t>
      </w:r>
      <w:r>
        <w:t xml:space="preserve"> </w:t>
      </w:r>
      <w:r>
        <w:t xml:space="preserve">complements rather than replaces existing tools, using them internally while adding automation layers.</w:t>
      </w:r>
    </w:p>
    <w:p>
      <w:pPr>
        <w:pStyle w:val="Heading1"/>
      </w:pPr>
      <w:bookmarkStart w:id="30" w:name="documentation-and-testing"/>
      <w:r>
        <w:t xml:space="preserve">Documentation and Testing</w:t>
      </w:r>
      <w:bookmarkEnd w:id="30"/>
    </w:p>
    <w:p>
      <w:pPr>
        <w:pStyle w:val="FirstParagraph"/>
      </w:pPr>
      <w:r>
        <w:t xml:space="preserve">The package includes:</w:t>
      </w:r>
    </w:p>
    <w:p>
      <w:pPr>
        <w:numPr>
          <w:ilvl w:val="0"/>
          <w:numId w:val="1010"/>
        </w:numPr>
        <w:pStyle w:val="Compact"/>
      </w:pPr>
      <w:r>
        <w:rPr>
          <w:b/>
        </w:rPr>
        <w:t xml:space="preserve">Comprehensive documentation</w:t>
      </w:r>
      <w:r>
        <w:t xml:space="preserve">: Roxygen2-generated help pages for all functions</w:t>
      </w:r>
    </w:p>
    <w:p>
      <w:pPr>
        <w:numPr>
          <w:ilvl w:val="0"/>
          <w:numId w:val="1010"/>
        </w:numPr>
        <w:pStyle w:val="Compact"/>
      </w:pPr>
      <w:r>
        <w:rPr>
          <w:b/>
        </w:rPr>
        <w:t xml:space="preserve">Vignette</w:t>
      </w:r>
      <w:r>
        <w:t xml:space="preserve">:</w:t>
      </w:r>
      <w:r>
        <w:t xml:space="preserve"> </w:t>
      </w:r>
      <w:r>
        <w:t xml:space="preserve">“</w:t>
      </w:r>
      <w:r>
        <w:t xml:space="preserve">Getting Started with glscalibrator</w:t>
      </w:r>
      <w:r>
        <w:t xml:space="preserve">”</w:t>
      </w:r>
      <w:r>
        <w:t xml:space="preserve"> </w:t>
      </w:r>
      <w:r>
        <w:t xml:space="preserve">with complete workflows</w:t>
      </w:r>
    </w:p>
    <w:p>
      <w:pPr>
        <w:numPr>
          <w:ilvl w:val="0"/>
          <w:numId w:val="1010"/>
        </w:numPr>
        <w:pStyle w:val="Compact"/>
      </w:pPr>
      <w:r>
        <w:rPr>
          <w:b/>
        </w:rPr>
        <w:t xml:space="preserve">Unit tests</w:t>
      </w:r>
      <w:r>
        <w:t xml:space="preserve">: testthat-based tests for core functions</w:t>
      </w:r>
    </w:p>
    <w:p>
      <w:pPr>
        <w:numPr>
          <w:ilvl w:val="0"/>
          <w:numId w:val="1010"/>
        </w:numPr>
        <w:pStyle w:val="Compact"/>
      </w:pPr>
      <w:r>
        <w:rPr>
          <w:b/>
        </w:rPr>
        <w:t xml:space="preserve">README</w:t>
      </w:r>
      <w:r>
        <w:t xml:space="preserve">: Quick start guide and examples</w:t>
      </w:r>
    </w:p>
    <w:p>
      <w:pPr>
        <w:numPr>
          <w:ilvl w:val="0"/>
          <w:numId w:val="1010"/>
        </w:numPr>
        <w:pStyle w:val="Compact"/>
      </w:pPr>
      <w:r>
        <w:rPr>
          <w:b/>
        </w:rPr>
        <w:t xml:space="preserve">Example data</w:t>
      </w:r>
      <w:r>
        <w:t xml:space="preserve">: Sample outputs and diagnostic plots</w:t>
      </w:r>
    </w:p>
    <w:p>
      <w:pPr>
        <w:pStyle w:val="Heading1"/>
      </w:pPr>
      <w:bookmarkStart w:id="31" w:name="availability-and-contributions"/>
      <w:r>
        <w:t xml:space="preserve">Availability and Contributions</w:t>
      </w:r>
      <w:bookmarkEnd w:id="31"/>
    </w:p>
    <w:p>
      <w:pPr>
        <w:pStyle w:val="FirstParagraph"/>
      </w:pPr>
      <w:r>
        <w:rPr>
          <w:rStyle w:val="VerbatimChar"/>
        </w:rPr>
        <w:t xml:space="preserve">glscalibrator</w:t>
      </w:r>
      <w:r>
        <w:t xml:space="preserve"> </w:t>
      </w:r>
      <w:r>
        <w:t xml:space="preserve">is open source (MIT license) and available at:</w:t>
      </w:r>
    </w:p>
    <w:p>
      <w:pPr>
        <w:numPr>
          <w:ilvl w:val="0"/>
          <w:numId w:val="1011"/>
        </w:numPr>
        <w:pStyle w:val="Compact"/>
      </w:pPr>
      <w:r>
        <w:t xml:space="preserve">GitHub:</w:t>
      </w:r>
      <w:r>
        <w:t xml:space="preserve"> </w:t>
      </w:r>
      <w:hyperlink r:id="rId32">
        <w:r>
          <w:rPr>
            <w:rStyle w:val="Hyperlink"/>
          </w:rPr>
          <w:t xml:space="preserve">https://github.com/fabbiologia/glscalibrator</w:t>
        </w:r>
      </w:hyperlink>
    </w:p>
    <w:p>
      <w:pPr>
        <w:numPr>
          <w:ilvl w:val="0"/>
          <w:numId w:val="1011"/>
        </w:numPr>
        <w:pStyle w:val="Compact"/>
      </w:pPr>
      <w:r>
        <w:t xml:space="preserve">Documentation:</w:t>
      </w:r>
      <w:r>
        <w:t xml:space="preserve"> </w:t>
      </w:r>
      <w:hyperlink r:id="rId33">
        <w:r>
          <w:rPr>
            <w:rStyle w:val="Hyperlink"/>
          </w:rPr>
          <w:t xml:space="preserve">https://fabbiologia.github.io/glscalibrator</w:t>
        </w:r>
      </w:hyperlink>
    </w:p>
    <w:p>
      <w:pPr>
        <w:pStyle w:val="FirstParagraph"/>
      </w:pPr>
      <w:r>
        <w:t xml:space="preserve">Contributions are welcome via GitHub issues and pull requests.</w:t>
      </w:r>
      <w:r>
        <w:t xml:space="preserve"> </w:t>
      </w:r>
      <w:r>
        <w:t xml:space="preserve">The package follows standard R package development practices including semantic versioning, continuous integration, and code review.</w:t>
      </w:r>
    </w:p>
    <w:p>
      <w:pPr>
        <w:pStyle w:val="Heading1"/>
      </w:pPr>
      <w:bookmarkStart w:id="34" w:name="acknowledgments"/>
      <w:r>
        <w:t xml:space="preserve">Acknowledgments</w:t>
      </w:r>
      <w:bookmarkEnd w:id="34"/>
    </w:p>
    <w:p>
      <w:pPr>
        <w:pStyle w:val="FirstParagraph"/>
      </w:pPr>
      <w:r>
        <w:t xml:space="preserve">We thank the developers of SGAT, GeoLight, and TwGeos for creating the foundational tools that make this work possible.</w:t>
      </w:r>
      <w:r>
        <w:t xml:space="preserve"> </w:t>
      </w:r>
      <w:r>
        <w:t xml:space="preserve">We also thank the seabird tracking community for feedback on workflow requirements and testing.</w:t>
      </w:r>
    </w:p>
    <w:p>
      <w:pPr>
        <w:pStyle w:val="Heading1"/>
      </w:pPr>
      <w:bookmarkStart w:id="35" w:name="references"/>
      <w:r>
        <w:t xml:space="preserve">References</w:t>
      </w:r>
      <w:bookmarkEnd w:id="35"/>
    </w:p>
    <w:bookmarkStart w:id="46" w:name="refs"/>
    <w:bookmarkStart w:id="37" w:name="ref-hill1994"/>
    <w:p>
      <w:pPr>
        <w:pStyle w:val="Bibliography"/>
      </w:pPr>
      <w:r>
        <w:t xml:space="preserve">Hill, C, and MJ Braun. 1994. “Determining Bird Migration Routes: A Comparison of Methods Using Simple Models.”</w:t>
      </w:r>
      <w:r>
        <w:t xml:space="preserve"> </w:t>
      </w:r>
      <w:r>
        <w:rPr>
          <w:i/>
        </w:rPr>
        <w:t xml:space="preserve">The Auk</w:t>
      </w:r>
      <w:r>
        <w:t xml:space="preserve"> </w:t>
      </w:r>
      <w:r>
        <w:t xml:space="preserve">111 (4): 983–89.</w:t>
      </w:r>
      <w:r>
        <w:t xml:space="preserve"> </w:t>
      </w:r>
      <w:hyperlink r:id="rId36">
        <w:r>
          <w:rPr>
            <w:rStyle w:val="Hyperlink"/>
          </w:rPr>
          <w:t xml:space="preserve">https://doi.org/10.2307/4088832</w:t>
        </w:r>
      </w:hyperlink>
      <w:r>
        <w:t xml:space="preserve">.</w:t>
      </w:r>
    </w:p>
    <w:bookmarkEnd w:id="37"/>
    <w:bookmarkStart w:id="39" w:name="ref-lisovski2019"/>
    <w:p>
      <w:pPr>
        <w:pStyle w:val="Bibliography"/>
      </w:pPr>
      <w:r>
        <w:t xml:space="preserve">Lisovski, Simeon. 2019. “TwGeos: Basic Data Processing for Light-Level Geolocation Archival Tags.”</w:t>
      </w:r>
      <w:r>
        <w:t xml:space="preserve"> </w:t>
      </w:r>
      <w:r>
        <w:rPr>
          <w:i/>
        </w:rPr>
        <w:t xml:space="preserve">R Package Version 0.1</w:t>
      </w:r>
      <w:r>
        <w:t xml:space="preserve">.</w:t>
      </w:r>
      <w:r>
        <w:t xml:space="preserve"> </w:t>
      </w:r>
      <w:hyperlink r:id="rId38">
        <w:r>
          <w:rPr>
            <w:rStyle w:val="Hyperlink"/>
          </w:rPr>
          <w:t xml:space="preserve">https://github.com/slisovski/TwGeos</w:t>
        </w:r>
      </w:hyperlink>
      <w:r>
        <w:t xml:space="preserve">.</w:t>
      </w:r>
    </w:p>
    <w:bookmarkEnd w:id="39"/>
    <w:bookmarkStart w:id="41" w:name="ref-lisovski2020"/>
    <w:p>
      <w:pPr>
        <w:pStyle w:val="Bibliography"/>
      </w:pPr>
      <w:r>
        <w:t xml:space="preserve">Lisovski, Simeon, Silke Bauer, Martins Briedis, Sarah C Davidson, Kiran L Dhanjal-Adams, Michael T Hallworth, Julia Karagicheva, et al. 2020. “Light-Level Geolocator Analyses: A User’s Guide.”</w:t>
      </w:r>
      <w:r>
        <w:t xml:space="preserve"> </w:t>
      </w:r>
      <w:r>
        <w:rPr>
          <w:i/>
        </w:rPr>
        <w:t xml:space="preserve">Journal of Animal Ecology</w:t>
      </w:r>
      <w:r>
        <w:t xml:space="preserve"> </w:t>
      </w:r>
      <w:r>
        <w:t xml:space="preserve">89 (1): 221–36.</w:t>
      </w:r>
      <w:r>
        <w:t xml:space="preserve"> </w:t>
      </w:r>
      <w:hyperlink r:id="rId40">
        <w:r>
          <w:rPr>
            <w:rStyle w:val="Hyperlink"/>
          </w:rPr>
          <w:t xml:space="preserve">https://doi.org/10.1111/1365-2656.13036</w:t>
        </w:r>
      </w:hyperlink>
      <w:r>
        <w:t xml:space="preserve">.</w:t>
      </w:r>
    </w:p>
    <w:bookmarkEnd w:id="41"/>
    <w:bookmarkStart w:id="43" w:name="ref-lisovski2012"/>
    <w:p>
      <w:pPr>
        <w:pStyle w:val="Bibliography"/>
      </w:pPr>
      <w:r>
        <w:t xml:space="preserve">Lisovski, Simeon, and Steffen Hahn. 2012. “GeoLight–Processing and Analysing Light-Based Geolocator Data in R.”</w:t>
      </w:r>
      <w:r>
        <w:t xml:space="preserve"> </w:t>
      </w:r>
      <w:r>
        <w:rPr>
          <w:i/>
        </w:rPr>
        <w:t xml:space="preserve">Methods in Ecology and Evolution</w:t>
      </w:r>
      <w:r>
        <w:t xml:space="preserve"> </w:t>
      </w:r>
      <w:r>
        <w:t xml:space="preserve">3 (6): 1055–9.</w:t>
      </w:r>
      <w:r>
        <w:t xml:space="preserve"> </w:t>
      </w:r>
      <w:hyperlink r:id="rId42">
        <w:r>
          <w:rPr>
            <w:rStyle w:val="Hyperlink"/>
          </w:rPr>
          <w:t xml:space="preserve">https://doi.org/10.1111/j.2041-210X.2012.00248.x</w:t>
        </w:r>
      </w:hyperlink>
      <w:r>
        <w:t xml:space="preserve">.</w:t>
      </w:r>
    </w:p>
    <w:bookmarkEnd w:id="43"/>
    <w:bookmarkStart w:id="45" w:name="ref-wotherspoon2016"/>
    <w:p>
      <w:pPr>
        <w:pStyle w:val="Bibliography"/>
      </w:pPr>
      <w:r>
        <w:t xml:space="preserve">Wotherspoon, Simon, Michael Sumner, and Simeon Lisovski. 2016. “SGAT: Solar/Satellite Geolocation for Archival Tags.”</w:t>
      </w:r>
      <w:r>
        <w:t xml:space="preserve"> </w:t>
      </w:r>
      <w:r>
        <w:rPr>
          <w:i/>
        </w:rPr>
        <w:t xml:space="preserve">R Package Version 0.1</w:t>
      </w:r>
      <w:r>
        <w:t xml:space="preserve">.</w:t>
      </w:r>
      <w:r>
        <w:t xml:space="preserve"> </w:t>
      </w:r>
      <w:hyperlink r:id="rId44">
        <w:r>
          <w:rPr>
            <w:rStyle w:val="Hyperlink"/>
          </w:rPr>
          <w:t xml:space="preserve">https://github.com/SWotherspoon/SGAT</w:t>
        </w:r>
      </w:hyperlink>
      <w:r>
        <w:t xml:space="preserv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doi.org/10.1111/1365-2656.13036" TargetMode="External" /><Relationship Type="http://schemas.openxmlformats.org/officeDocument/2006/relationships/hyperlink" Id="rId42" Target="https://doi.org/10.1111/j.2041-210X.2012.00248.x" TargetMode="External" /><Relationship Type="http://schemas.openxmlformats.org/officeDocument/2006/relationships/hyperlink" Id="rId36" Target="https://doi.org/10.2307/4088832" TargetMode="External" /><Relationship Type="http://schemas.openxmlformats.org/officeDocument/2006/relationships/hyperlink" Id="rId33" Target="https://fabbiologia.github.io/glscalibrator" TargetMode="External" /><Relationship Type="http://schemas.openxmlformats.org/officeDocument/2006/relationships/hyperlink" Id="rId44" Target="https://github.com/SWotherspoon/SGAT" TargetMode="External" /><Relationship Type="http://schemas.openxmlformats.org/officeDocument/2006/relationships/hyperlink" Id="rId32" Target="https://github.com/fabbiologia/glscalibrator" TargetMode="External" /><Relationship Type="http://schemas.openxmlformats.org/officeDocument/2006/relationships/hyperlink" Id="rId38" Target="https://github.com/slisovski/TwGeos" TargetMode="External" /></Relationships>
</file>

<file path=word/_rels/footnotes.xml.rels><?xml version="1.0" encoding="UTF-8"?>
<Relationships xmlns="http://schemas.openxmlformats.org/package/2006/relationships"><Relationship Type="http://schemas.openxmlformats.org/officeDocument/2006/relationships/hyperlink" Id="rId40" Target="https://doi.org/10.1111/1365-2656.13036" TargetMode="External" /><Relationship Type="http://schemas.openxmlformats.org/officeDocument/2006/relationships/hyperlink" Id="rId42" Target="https://doi.org/10.1111/j.2041-210X.2012.00248.x" TargetMode="External" /><Relationship Type="http://schemas.openxmlformats.org/officeDocument/2006/relationships/hyperlink" Id="rId36" Target="https://doi.org/10.2307/4088832" TargetMode="External" /><Relationship Type="http://schemas.openxmlformats.org/officeDocument/2006/relationships/hyperlink" Id="rId33" Target="https://fabbiologia.github.io/glscalibrator" TargetMode="External" /><Relationship Type="http://schemas.openxmlformats.org/officeDocument/2006/relationships/hyperlink" Id="rId44" Target="https://github.com/SWotherspoon/SGAT" TargetMode="External" /><Relationship Type="http://schemas.openxmlformats.org/officeDocument/2006/relationships/hyperlink" Id="rId32" Target="https://github.com/fabbiologia/glscalibrator" TargetMode="External" /><Relationship Type="http://schemas.openxmlformats.org/officeDocument/2006/relationships/hyperlink" Id="rId38" Target="https://github.com/slisovski/TwGe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glscalibrator: An R Package for Automated Calibration and Analysis of Light-Level Geolocation Data</dc:title>
  <dc:creator/>
  <cp:keywords/>
  <dcterms:created xsi:type="dcterms:W3CDTF">2025-11-05T22:02:48Z</dcterms:created>
  <dcterms:modified xsi:type="dcterms:W3CDTF">2025-11-05T22:02:48Z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graphy">
    <vt:lpwstr>paper.bib</vt:lpwstr>
  </property>
  <property fmtid="{D5CDD505-2E9C-101B-9397-08002B2CF9AE}" pid="5" name="date">
    <vt:lpwstr>5 November 2025</vt:lpwstr>
  </property>
  <property fmtid="{D5CDD505-2E9C-101B-9397-08002B2CF9AE}" pid="6" name="tags">
    <vt:lpwstr/>
  </property>
</Properties>
</file>