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Ocean Protection Is Stalling—and How High-Capacity Nations Can Help Regain Momentum</w:t>
      </w:r>
    </w:p>
    <w:p>
      <w:pPr>
        <w:pStyle w:val="BodyText"/>
      </w:pPr>
      <w:r>
        <w:t xml:space="preserve">Fabio Favoretto</w:t>
      </w:r>
      <w:r>
        <w:rPr>
          <w:vertAlign w:val="superscript"/>
        </w:rPr>
        <w:t xml:space="preserve">1</w:t>
      </w:r>
      <w:r>
        <w:t xml:space="preserve">*, Joy A. Kumagai</w:t>
      </w:r>
      <w:r>
        <w:rPr>
          <w:vertAlign w:val="superscript"/>
        </w:rPr>
        <w:t xml:space="preserve">2</w:t>
      </w:r>
      <w:r>
        <w:t xml:space="preserve">, Catalina López-Sagástegui</w:t>
      </w:r>
      <w:r>
        <w:rPr>
          <w:vertAlign w:val="superscript"/>
        </w:rPr>
        <w:t xml:space="preserve">3</w:t>
      </w:r>
      <w:r>
        <w:t xml:space="preserve">, Deirdre Brannigan</w:t>
      </w:r>
      <w:r>
        <w:rPr>
          <w:vertAlign w:val="superscript"/>
        </w:rPr>
        <w:t xml:space="preserve">4</w:t>
      </w:r>
      <w:r>
        <w:t xml:space="preserve">, Alex Driedger</w:t>
      </w:r>
      <w:r>
        <w:rPr>
          <w:vertAlign w:val="superscript"/>
        </w:rPr>
        <w:t xml:space="preserve">4</w:t>
      </w:r>
      <w:r>
        <w:t xml:space="preserve">, Jennifer Sletten</w:t>
      </w:r>
      <w:r>
        <w:rPr>
          <w:vertAlign w:val="superscript"/>
        </w:rPr>
        <w:t xml:space="preserve">4</w:t>
      </w:r>
      <w:r>
        <w:t xml:space="preserve">, Claire Colegrove</w:t>
      </w:r>
      <w:r>
        <w:rPr>
          <w:vertAlign w:val="superscript"/>
        </w:rPr>
        <w:t xml:space="preserve">4</w:t>
      </w:r>
      <w:r>
        <w:t xml:space="preserve">, Timothe Vincent</w:t>
      </w:r>
      <w:r>
        <w:rPr>
          <w:vertAlign w:val="superscript"/>
        </w:rPr>
        <w:t xml:space="preserve">4</w:t>
      </w:r>
      <w:r>
        <w:t xml:space="preserve">, Virgil Zetterlind</w:t>
      </w:r>
      <w:r>
        <w:rPr>
          <w:vertAlign w:val="superscript"/>
        </w:rPr>
        <w:t xml:space="preserve">4</w:t>
      </w:r>
      <w:r>
        <w:t xml:space="preserve">, Paolo Guidetti</w:t>
      </w:r>
      <w:r>
        <w:rPr>
          <w:vertAlign w:val="superscript"/>
        </w:rPr>
        <w:t xml:space="preserve">5</w:t>
      </w:r>
      <w:r>
        <w:t xml:space="preserve">, Octavio Aburto Oropeza</w:t>
      </w:r>
      <w:r>
        <w:rPr>
          <w:vertAlign w:val="superscript"/>
        </w:rPr>
        <w:t xml:space="preserve">1</w:t>
      </w:r>
    </w:p>
    <w:p>
      <w:pPr>
        <w:pStyle w:val="BodyText"/>
      </w:pPr>
      <w:r>
        <w:rPr>
          <w:vertAlign w:val="superscript"/>
        </w:rPr>
        <w:t xml:space="preserve">1</w:t>
      </w:r>
      <w:r>
        <w:t xml:space="preserve"> </w:t>
      </w:r>
      <w:r>
        <w:t xml:space="preserve">Scripps Institution of Oceanography, University of California San Diego, 8885 Biological Grade, La Jolla, CA 92037, USA</w:t>
      </w:r>
      <w:r>
        <w:br/>
      </w:r>
      <w:r>
        <w:rPr>
          <w:vertAlign w:val="superscript"/>
        </w:rPr>
        <w:t xml:space="preserve">2</w:t>
      </w:r>
      <w:r>
        <w:t xml:space="preserve"> </w:t>
      </w:r>
      <w:r>
        <w:t xml:space="preserve">Hopkins Marine Station, Department of Biology, Stanford University, Pacific Grove, CA 93950, USA</w:t>
      </w:r>
      <w:r>
        <w:br/>
      </w:r>
      <w:r>
        <w:rPr>
          <w:vertAlign w:val="superscript"/>
        </w:rPr>
        <w:t xml:space="preserve">3</w:t>
      </w:r>
      <w:r>
        <w:t xml:space="preserve"> </w:t>
      </w:r>
      <w:r>
        <w:t xml:space="preserve">Gulf of California Marine Program, Institute of the Americas, 10111 North Torrey Pines Road, La Jolla, CA 92037, USA</w:t>
      </w:r>
      <w:r>
        <w:br/>
      </w:r>
      <w:r>
        <w:rPr>
          <w:vertAlign w:val="superscript"/>
        </w:rPr>
        <w:t xml:space="preserve">4</w:t>
      </w:r>
      <w:r>
        <w:t xml:space="preserve"> </w:t>
      </w:r>
      <w:r>
        <w:t xml:space="preserve">ProtectedSeas, Anthropocene Institute, 2475 Hanover Street, Palo Alto, CA 94304, USA</w:t>
      </w:r>
      <w:r>
        <w:br/>
      </w:r>
      <w:r>
        <w:rPr>
          <w:vertAlign w:val="superscript"/>
        </w:rPr>
        <w:t xml:space="preserve">5</w:t>
      </w:r>
      <w:r>
        <w:t xml:space="preserve"> </w:t>
      </w:r>
      <w:r>
        <w:t xml:space="preserve">Department of Integrative Marine Ecology, Stazione Zoologica Anton Dohrn, Genoa Marine Centre, Villa del Principe, Genoa, Italy</w:t>
      </w:r>
    </w:p>
    <w:p>
      <w:pPr>
        <w:pStyle w:val="BodyText"/>
      </w:pPr>
      <w:r>
        <w:t xml:space="preserve">*Lead contact and correspondence:</w:t>
      </w:r>
      <w:r>
        <w:t xml:space="preserve"> </w:t>
      </w:r>
      <w:hyperlink r:id="rId20">
        <w:r>
          <w:rPr>
            <w:rStyle w:val="Hyperlink"/>
          </w:rPr>
          <w:t xml:space="preserve">fabio@gocmarineprogram.org</w:t>
        </w:r>
      </w:hyperlink>
    </w:p>
    <w:p>
      <w:pPr>
        <w:pStyle w:val="Heading1"/>
      </w:pPr>
      <w:bookmarkStart w:id="21" w:name="science-for-society"/>
      <w:r>
        <w:t xml:space="preserve">SCIENCE FOR SOCIETY</w:t>
      </w:r>
      <w:bookmarkEnd w:id="21"/>
    </w:p>
    <w:p>
      <w:pPr>
        <w:pStyle w:val="FirstParagraph"/>
      </w:pPr>
      <w:r>
        <w:t xml:space="preserve">The world has pledged to protect 30% of the ocean by 2030, yet meaningful protection is not increasing at the required pace. Fully protected Marine Protected Areas (MPAs), which prohibit any destructive activity, currently cover just 3.8% of the ocean and have grown by only ~0.05 percentage points per year since 2018. Minimally protected MPAs account for 5.8%. Our analysis shows that the largest opportunities to accelerate protection lie with a small group of high-capacity nations—those with strong governance, robust institutions, and economic capacity for conservation—whose vast marine estates remain predominantly minimally protected. Upgrading minimally protected 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pPr>
        <w:pStyle w:val="Heading1"/>
      </w:pPr>
      <w:bookmarkStart w:id="22" w:name="highlights"/>
      <w:r>
        <w:t xml:space="preserve">HIGHLIGHTS</w:t>
      </w:r>
      <w:bookmarkEnd w:id="22"/>
    </w:p>
    <w:p>
      <w:pPr>
        <w:numPr>
          <w:ilvl w:val="0"/>
          <w:numId w:val="1001"/>
        </w:numPr>
        <w:pStyle w:val="Compact"/>
      </w:pPr>
      <w:r>
        <w:t xml:space="preserve">Fully protected MPAs remain stuck at 3.8% of the ocean, with annual gains below 0.05%;</w:t>
      </w:r>
    </w:p>
    <w:p>
      <w:pPr>
        <w:numPr>
          <w:ilvl w:val="0"/>
          <w:numId w:val="1001"/>
        </w:numPr>
        <w:pStyle w:val="Compact"/>
      </w:pPr>
      <w:r>
        <w:t xml:space="preserve">The largest opportunities to expand fully protected areas lie in high-capacity countries;</w:t>
      </w:r>
    </w:p>
    <w:p>
      <w:pPr>
        <w:numPr>
          <w:ilvl w:val="0"/>
          <w:numId w:val="1001"/>
        </w:numPr>
        <w:pStyle w:val="Compact"/>
      </w:pPr>
      <w:r>
        <w:t xml:space="preserve">Upgrading minimally protected MPAs in these jurisdictions can have a large impact on global habitat protection;</w:t>
      </w:r>
    </w:p>
    <w:p>
      <w:pPr>
        <w:numPr>
          <w:ilvl w:val="0"/>
          <w:numId w:val="1001"/>
        </w:numPr>
        <w:pStyle w:val="Compact"/>
      </w:pPr>
      <w:r>
        <w:t xml:space="preserve">Leadership from high-capacity countries can demonstrate decisive action on 30×30.</w:t>
      </w:r>
    </w:p>
    <w:p>
      <w:pPr>
        <w:pStyle w:val="Heading1"/>
      </w:pPr>
      <w:bookmarkStart w:id="23" w:name="summary"/>
      <w:r>
        <w:t xml:space="preserve">SUMMARY</w:t>
      </w:r>
      <w:bookmarkEnd w:id="23"/>
    </w:p>
    <w:p>
      <w:pPr>
        <w:pStyle w:val="FirstParagraph"/>
      </w:pPr>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Fully protected marine protected areas (MPAs)—those prohibiting extractive activities—are known to deliver the strongest ecological outcomes. Despite this global commitment, meaningful progress has stalled. Only 3.8% of the ocean is currently under full protection, and annual increases have slowed to less than 0.05 percentage points since 2018. Most new MPAs are minimally protected, allowing continued extraction in heavily exploited coastal regions. We show that the greatest potential for expanding fully protected coverage lies with a small group of high-capacity nations whose domestic waters remain largely minimally protected, despite strong governance, robust institutions, and enforcement capacity. By overlaying habitat extent, current protection levels, and enabling conditions—a composite index combining governance quality, rule of law, and blue economy readiness—we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full protection in these areas remains minimal. Many of these opportunities occur in overseas territories, where nations retain jurisdiction over globally significant ecosystems but have not yet elevated protection levels. 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pPr>
        <w:pStyle w:val="Heading1"/>
      </w:pPr>
      <w:bookmarkStart w:id="24" w:name="keywords"/>
      <w:r>
        <w:t xml:space="preserve">KEYWORDS</w:t>
      </w:r>
      <w:bookmarkEnd w:id="24"/>
    </w:p>
    <w:p>
      <w:pPr>
        <w:pStyle w:val="FirstParagraph"/>
      </w:pPr>
      <w:r>
        <w:t xml:space="preserve">Marine protected areas, ocean governance, enabling conditions, ProtectedSeas, habitat protection, conservation finance, blue economy, 30×30 target, biodiversity, climate resilience</w:t>
      </w:r>
    </w:p>
    <w:p>
      <w:pPr>
        <w:pStyle w:val="Heading1"/>
      </w:pPr>
      <w:bookmarkStart w:id="25" w:name="introduction"/>
      <w:r>
        <w:t xml:space="preserve">INTRODUCTION</w:t>
      </w:r>
      <w:bookmarkEnd w:id="25"/>
    </w:p>
    <w:p>
      <w:pPr>
        <w:pStyle w:val="FirstParagraph"/>
      </w:pPr>
      <w:r>
        <w:t xml:space="preserve">Global momentum for marine conservation has led to increasing commitments to ocean protection, including the widely endorsed post-2020 Kunming-Montreal Global Biodiversity Framework, which aims to protect 30% of the ocean by 2030 (30×30)</w:t>
      </w:r>
      <w:r>
        <w:rPr>
          <w:vertAlign w:val="superscript"/>
        </w:rPr>
        <w:t xml:space="preserve">1</w:t>
      </w:r>
      <w:r>
        <w:t xml:space="preserve">. This target builds upon previous efforts such as the Aichi Target 11, which sought 10% protection by 2020 but fell short of delivering meaningful outcomes</w:t>
      </w:r>
      <w:r>
        <w:rPr>
          <w:vertAlign w:val="superscript"/>
        </w:rPr>
        <w:t xml:space="preserve">2,3</w:t>
      </w:r>
      <w:r>
        <w:t xml:space="preserve">. While area-based targets remain central, there is now broader recognition that effective conservation requires attention to ecological function, social equity, and enforcement capacity—not just spatial coverage</w:t>
      </w:r>
      <w:r>
        <w:rPr>
          <w:vertAlign w:val="superscript"/>
        </w:rPr>
        <w:t xml:space="preserve">1,4,5</w:t>
      </w:r>
      <w:r>
        <w:t xml:space="preserve">.</w:t>
      </w:r>
    </w:p>
    <w:p>
      <w:pPr>
        <w:pStyle w:val="BodyText"/>
      </w:pPr>
      <w:r>
        <w:t xml:space="preserve">Global assessments based on the World Database on Protected Areas (WDPA) and The MPA atlas have shown that most MPAs offer limited ecological benefits due to weak implementation and management</w:t>
      </w:r>
      <w:r>
        <w:rPr>
          <w:vertAlign w:val="superscript"/>
        </w:rPr>
        <w:t xml:space="preserve">6,7</w:t>
      </w:r>
      <w:r>
        <w:t xml:space="preserve">. Recent socioeconomic modeling suggests that expansion of new MPAs into jurisdictions lacking strong governance is unlikely to succeed</w:t>
      </w:r>
      <w:r>
        <w:rPr>
          <w:vertAlign w:val="superscript"/>
        </w:rPr>
        <w:t xml:space="preserve">8</w:t>
      </w:r>
      <w:r>
        <w:t xml:space="preserve">. These findings point toward a critical shift in strategy: strengthening regulations within existing Marine Protected Areas (MPAs) may offer a more realistic near-term pathway than continued large-scale expansion</w:t>
      </w:r>
      <w:r>
        <w:rPr>
          <w:vertAlign w:val="superscript"/>
        </w:rPr>
        <w:t xml:space="preserve">6,9,10</w:t>
      </w:r>
      <w:r>
        <w:t xml:space="preserve">.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 xml:space="preserve">8,11–13</w:t>
      </w:r>
      <w:r>
        <w:t xml:space="preserve">.</w:t>
      </w:r>
    </w:p>
    <w:p>
      <w:pPr>
        <w:pStyle w:val="BodyText"/>
      </w:pPr>
      <w:r>
        <w:t xml:space="preserve">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 their standards remain broad and unevenly applied</w:t>
      </w:r>
      <w:r>
        <w:rPr>
          <w:vertAlign w:val="superscript"/>
        </w:rPr>
        <w:t xml:space="preserve">14</w:t>
      </w:r>
      <w:r>
        <w:t xml:space="preserve">. Evidence demonstrates that sustained ecological recovery requires strict limits on extraction</w:t>
      </w:r>
      <w:r>
        <w:rPr>
          <w:vertAlign w:val="superscript"/>
        </w:rPr>
        <w:t xml:space="preserve">15–17</w:t>
      </w:r>
      <w:r>
        <w:t xml:space="preserve">; without enforceable no-take standards, there is risk of diluting conservation targets. Similarly, while the 2023 Agreement under UNCLOS on Biodiversity Beyond National Jurisdiction (BBNJ) is an historic milestone</w:t>
      </w:r>
      <w:r>
        <w:rPr>
          <w:vertAlign w:val="superscript"/>
        </w:rPr>
        <w:t xml:space="preserve">18,19</w:t>
      </w:r>
      <w:r>
        <w:t xml:space="preserve">, the governance and financing mechanisms required to activate high-seas protections are still being negotiated. Countries can act immediately within their EEZs by upgrading existing MPAs, building a track record of effective protection while BBNJ institutions mature.</w:t>
      </w:r>
    </w:p>
    <w:p>
      <w:pPr>
        <w:pStyle w:val="BodyText"/>
      </w:pPr>
      <w:r>
        <w:t xml:space="preserve">We rely on UNEP-WCMC habitat maps because they provide globally consistent, observation-based layers—not statistical models—ensuring that habitat presence aligns with regulatory boundaries</w:t>
      </w:r>
      <w:r>
        <w:rPr>
          <w:vertAlign w:val="superscript"/>
        </w:rPr>
        <w:t xml:space="preserve">20</w:t>
      </w:r>
      <w:r>
        <w:t xml:space="preserve">. Even these curated datasets exhibit sampling biases toward tropical and subtropical ecosystems; temperate kelp forests, rocky reefs, and polar habitats remain underrepresented due to the absence of comparable global products</w:t>
      </w:r>
      <w:r>
        <w:rPr>
          <w:vertAlign w:val="superscript"/>
        </w:rPr>
        <w:t xml:space="preserve">21</w:t>
      </w:r>
      <w:r>
        <w:t xml:space="preserve">. We address this limitation explicitly in our methods and discuss the need for expanded habitat coverage as standardized datasets emerge.</w:t>
      </w:r>
    </w:p>
    <w:p>
      <w:pPr>
        <w:pStyle w:val="BodyText"/>
      </w:pPr>
      <w:r>
        <w:t xml:space="preserve">Our analysis builds upon previous FAIR methods</w:t>
      </w:r>
      <w:r>
        <w:rPr>
          <w:vertAlign w:val="superscript"/>
        </w:rPr>
        <w:t xml:space="preserve">20,22</w:t>
      </w:r>
      <w:r>
        <w:t xml:space="preserve"> </w:t>
      </w:r>
      <w:r>
        <w:t xml:space="preserve">and advances the field in four key ways:</w:t>
      </w:r>
    </w:p>
    <w:p>
      <w:pPr>
        <w:numPr>
          <w:ilvl w:val="0"/>
          <w:numId w:val="1002"/>
        </w:numPr>
        <w:pStyle w:val="Compact"/>
      </w:pPr>
      <w:r>
        <w:t xml:space="preserve">We use regulatory data from the ProtectedSeas initiative</w:t>
      </w:r>
      <w:r>
        <w:rPr>
          <w:vertAlign w:val="superscript"/>
        </w:rPr>
        <w:t xml:space="preserve">23</w:t>
      </w:r>
      <w:r>
        <w:t xml:space="preserve">, which provides detailed, rule-based classifications of global MPA protection levels rather than relying solely on IUCN categories.</w:t>
      </w:r>
    </w:p>
    <w:p>
      <w:pPr>
        <w:numPr>
          <w:ilvl w:val="0"/>
          <w:numId w:val="1002"/>
        </w:numPr>
        <w:pStyle w:val="Compact"/>
      </w:pPr>
      <w:r>
        <w:t xml:space="preserve">We conduct a temporal analysis of global MPA expansion from 2000 to 2025, distinguishing between minimally and fully protected areas to reveal stalling trends in high-quality protection.</w:t>
      </w:r>
    </w:p>
    <w:p>
      <w:pPr>
        <w:numPr>
          <w:ilvl w:val="0"/>
          <w:numId w:val="1002"/>
        </w:numPr>
        <w:pStyle w:val="Compact"/>
      </w:pPr>
      <w:r>
        <w:t xml:space="preserve">We incorporate critical coastal habitat distributions (corals, mangroves, seagrasses, saltmarshes) to quantify where upgrade opportunities align with biodiversity priorities.</w:t>
      </w:r>
    </w:p>
    <w:p>
      <w:pPr>
        <w:numPr>
          <w:ilvl w:val="0"/>
          <w:numId w:val="1002"/>
        </w:numPr>
        <w:pStyle w:val="Compact"/>
      </w:pPr>
      <w:r>
        <w:t xml:space="preserve">We identify upgrade priorities by overlaying habitat extent, protection levels, and enabling conditions</w:t>
      </w:r>
      <w:r>
        <w:rPr>
          <w:vertAlign w:val="superscript"/>
        </w:rPr>
        <w:t xml:space="preserve">11</w:t>
      </w:r>
      <w:r>
        <w:t xml:space="preserve">—revealing that countries with strong governance capacity hold the largest opportunities to advance fully protected coverage.</w:t>
      </w:r>
    </w:p>
    <w:p>
      <w:pPr>
        <w:pStyle w:val="FirstParagraph"/>
      </w:pPr>
      <w:r>
        <w:t xml:space="preserve">By demonstrating where governments can immediately strengthen existing statutory protections, we provide a practical pathway to expand coverage and accelerate progress toward 30×30.</w:t>
      </w:r>
    </w:p>
    <w:p>
      <w:pPr>
        <w:pStyle w:val="Heading1"/>
      </w:pPr>
      <w:bookmarkStart w:id="26" w:name="results"/>
      <w:r>
        <w:t xml:space="preserve">RESULTS</w:t>
      </w:r>
      <w:bookmarkEnd w:id="26"/>
    </w:p>
    <w:p>
      <w:pPr>
        <w:pStyle w:val="Heading2"/>
      </w:pPr>
      <w:bookmarkStart w:id="27" w:name="stalling-trends-in-mpa-expansion"/>
      <w:r>
        <w:t xml:space="preserve">Stalling trends in MPA expansion</w:t>
      </w:r>
      <w:bookmarkEnd w:id="27"/>
    </w:p>
    <w:p>
      <w:pPr>
        <w:pStyle w:val="FirstParagraph"/>
      </w:pPr>
      <w:r>
        <w:t xml:space="preserve">Figure 1A shows that fully protected MPAs cover 3.81% of the ocean in 2025, while minimally or moderately protected MPAs contribute 5.81%. Annual gains in fully protected MPAs have slipped below 0.05 percentage points since 2018 (Figure 1B), indicating that the recent surge in MPA declarations has not translated into stricter regulations. Habitat status mirrors this pattern. Across warm- and cold-water corals, mangroves, seagrasses, and saltmarshes, fully protected coverage remains a small fraction of total extent and has improved only marginally since our previous assessment</w:t>
      </w:r>
      <w:r>
        <w:rPr>
          <w:vertAlign w:val="superscript"/>
        </w:rPr>
        <w:t xml:space="preserve">20</w:t>
      </w:r>
      <w:r>
        <w:t xml:space="preserve"> </w:t>
      </w:r>
      <w:r>
        <w:t xml:space="preserve">(Figure 1C). Without regulatory upgrades, continued expansion of minimally protected areas will increase spatial coverage while delivering limited ecological benefits.</w:t>
      </w:r>
    </w:p>
    <w:p>
      <w:pPr>
        <w:pStyle w:val="Heading2"/>
      </w:pPr>
      <w:bookmarkStart w:id="28" w:name="X0041dbc6f5375ea74d47bf8ab91677014f9b2fc"/>
      <w:r>
        <w:t xml:space="preserve">Coastal habitats remain exposed in high-capacity nations</w:t>
      </w:r>
      <w:bookmarkEnd w:id="28"/>
    </w:p>
    <w:p>
      <w:pPr>
        <w:pStyle w:val="FirstParagraph"/>
      </w:pPr>
      <w:r>
        <w:t xml:space="preserve">This stalling of high-quality protection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pPr>
        <w:pStyle w:val="BodyText"/>
      </w:pPr>
      <w:r>
        <w:t xml:space="preserve">Yet these same nations still rely on weak regulation. Within enabling ≥70 jurisdictions, fully protected MPAs secure just 14,000 km</w:t>
      </w:r>
      <w:r>
        <w:rPr>
          <w:vertAlign w:val="superscript"/>
        </w:rPr>
        <w:t xml:space="preserve">2</w:t>
      </w:r>
      <w:r>
        <w:t xml:space="preserve"> </w:t>
      </w:r>
      <w:r>
        <w:t xml:space="preserve">of warm-water corals, 2,200 km</w:t>
      </w:r>
      <w:r>
        <w:rPr>
          <w:vertAlign w:val="superscript"/>
        </w:rPr>
        <w:t xml:space="preserve">2</w:t>
      </w:r>
      <w:r>
        <w:t xml:space="preserve"> </w:t>
      </w:r>
      <w:r>
        <w:t xml:space="preserve">of seagrasses, and 41 km</w:t>
      </w:r>
      <w:r>
        <w:rPr>
          <w:vertAlign w:val="superscript"/>
        </w:rPr>
        <w:t xml:space="preserve">2</w:t>
      </w:r>
      <w:r>
        <w:t xml:space="preserve"> </w:t>
      </w:r>
      <w:r>
        <w:t xml:space="preserve">of saltmarshes, compared with tens of thousands of square kilometres that remain minimally protected. The 50–69 band follows the same pattern: 36,700 km</w:t>
      </w:r>
      <w:r>
        <w:rPr>
          <w:vertAlign w:val="superscript"/>
        </w:rPr>
        <w:t xml:space="preserve">2</w:t>
      </w:r>
      <w:r>
        <w:t xml:space="preserve"> </w:t>
      </w:r>
      <w:r>
        <w:t xml:space="preserve">of mangroves, 33,900 km</w:t>
      </w:r>
      <w:r>
        <w:rPr>
          <w:vertAlign w:val="superscript"/>
        </w:rPr>
        <w:t xml:space="preserve">2</w:t>
      </w:r>
      <w:r>
        <w:t xml:space="preserve"> </w:t>
      </w:r>
      <w:r>
        <w:t xml:space="preserve">of seagrasses, and 31,300 km</w:t>
      </w:r>
      <w:r>
        <w:rPr>
          <w:vertAlign w:val="superscript"/>
        </w:rPr>
        <w:t xml:space="preserve">2</w:t>
      </w:r>
      <w:r>
        <w:t xml:space="preserve"> </w:t>
      </w:r>
      <w:r>
        <w:t xml:space="preserve">of saltmarshes persist under minimal rules. Low-enabling countries collectively provide only 41 km</w:t>
      </w:r>
      <w:r>
        <w:rPr>
          <w:vertAlign w:val="superscript"/>
        </w:rPr>
        <w:t xml:space="preserve">2</w:t>
      </w:r>
      <w:r>
        <w:t xml:space="preserve"> </w:t>
      </w:r>
      <w:r>
        <w:t xml:space="preserve">of fully protected coral reefs and 341 km</w:t>
      </w:r>
      <w:r>
        <w:rPr>
          <w:vertAlign w:val="superscript"/>
        </w:rPr>
        <w:t xml:space="preserve">2</w:t>
      </w:r>
      <w:r>
        <w:t xml:space="preserve"> </w:t>
      </w:r>
      <w:r>
        <w:t xml:space="preserve">of seagrasses, underscoring that the biggest ecological dividends from stronger regulations now sit with high-capacity states. Altogether, ≥70 countries maintain 10.18 million km</w:t>
      </w:r>
      <w:r>
        <w:rPr>
          <w:vertAlign w:val="superscript"/>
        </w:rPr>
        <w:t xml:space="preserve">2</w:t>
      </w:r>
      <w:r>
        <w:t xml:space="preserve"> </w:t>
      </w:r>
      <w:r>
        <w:t xml:space="preserve">(74%) of the world’s fully protected MPA area, and the top ten sovereign territories steward 11.97 million km</w:t>
      </w:r>
      <w:r>
        <w:rPr>
          <w:vertAlign w:val="superscript"/>
        </w:rPr>
        <w:t xml:space="preserve">2</w:t>
      </w:r>
      <w:r>
        <w:t xml:space="preserve"> </w:t>
      </w:r>
      <w:r>
        <w:t xml:space="preserve">(87%), yet those same jurisdictions hold 109,000 km</w:t>
      </w:r>
      <w:r>
        <w:rPr>
          <w:vertAlign w:val="superscript"/>
        </w:rPr>
        <w:t xml:space="preserve">2</w:t>
      </w:r>
      <w:r>
        <w:t xml:space="preserve"> </w:t>
      </w:r>
      <w:r>
        <w:t xml:space="preserve">(39%)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pPr>
        <w:pStyle w:val="BodyText"/>
      </w:pPr>
      <w:r>
        <w:t xml:space="preserve">The social dynamics captured in Figure 1D help explain why upgrades face political resistance even in well-governed countries. Fully protected MPAs impose higher short-term costs because extractive uses are curtailed immediately, yet evidence shows they deliver larger long-term ecological and economic gains through spillover, tourism, and climate resilience</w:t>
      </w:r>
      <w:r>
        <w:rPr>
          <w:vertAlign w:val="superscript"/>
        </w:rPr>
        <w:t xml:space="preserve">15,17,24</w:t>
      </w:r>
      <w:r>
        <w:t xml:space="preserve">. Minimally protected areas may spread costs more thinly, but they also demand continuous management effort and can erode trust when expected benefits do not materialize</w:t>
      </w:r>
      <w:r>
        <w:rPr>
          <w:vertAlign w:val="superscript"/>
        </w:rPr>
        <w:t xml:space="preserve">10,12,25</w:t>
      </w:r>
      <w:r>
        <w:t xml:space="preserve">. Successful upgrades require participatory planning, livelihood transitions, and transparent monitoring so that affected communities can assess trade-offs and share in long-term gains</w:t>
      </w:r>
      <w:r>
        <w:rPr>
          <w:vertAlign w:val="superscript"/>
        </w:rPr>
        <w:t xml:space="preserve">24,37,38</w:t>
      </w:r>
      <w:r>
        <w:t xml:space="preserve">. Without these social processes, governments tend to favor low-regulation designations that increase spatial coverage while delivering uncertain ecological outcomes.</w:t>
      </w:r>
    </w:p>
    <w:p>
      <w:pPr>
        <w:pStyle w:val="Heading2"/>
      </w:pPr>
      <w:bookmarkStart w:id="29" w:name="X439342d3850a2c80ae099dc2c29db839a054517"/>
      <w:r>
        <w:t xml:space="preserve">Upgrade opportunities align with enabling conditions</w:t>
      </w:r>
      <w:bookmarkEnd w:id="29"/>
    </w:p>
    <w:p>
      <w:pPr>
        <w:pStyle w:val="FirstParagraph"/>
      </w:pPr>
      <w:r>
        <w:t xml:space="preserve">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w:t>
      </w:r>
      <w:r>
        <w:rPr>
          <w:vertAlign w:val="superscript"/>
        </w:rPr>
        <w:t xml:space="preserve">2</w:t>
      </w:r>
      <w:r>
        <w:t xml:space="preserve"> </w:t>
      </w:r>
      <w:r>
        <w:t xml:space="preserve">of minimally protected area compared with just 40 km</w:t>
      </w:r>
      <w:r>
        <w:rPr>
          <w:vertAlign w:val="superscript"/>
        </w:rPr>
        <w:t xml:space="preserve">2</w:t>
      </w:r>
      <w:r>
        <w:t xml:space="preserve"> </w:t>
      </w:r>
      <w:r>
        <w:t xml:space="preserve">fully protected), followed by Australia’s seagrass and warm-water coral MPAs (13,900 km</w:t>
      </w:r>
      <w:r>
        <w:rPr>
          <w:vertAlign w:val="superscript"/>
        </w:rPr>
        <w:t xml:space="preserve">2</w:t>
      </w:r>
      <w:r>
        <w:t xml:space="preserve"> </w:t>
      </w:r>
      <w:r>
        <w:t xml:space="preserve">and 11,200 km</w:t>
      </w:r>
      <w:r>
        <w:rPr>
          <w:vertAlign w:val="superscript"/>
        </w:rPr>
        <w:t xml:space="preserve">2</w:t>
      </w:r>
      <w:r>
        <w:t xml:space="preserve"> </w:t>
      </w:r>
      <w:r>
        <w:t xml:space="preserve">gaps respectively) and the United States’ seagrass and saltmarsh estates (8,400 km</w:t>
      </w:r>
      <w:r>
        <w:rPr>
          <w:vertAlign w:val="superscript"/>
        </w:rPr>
        <w:t xml:space="preserve">2</w:t>
      </w:r>
      <w:r>
        <w:t xml:space="preserve"> </w:t>
      </w:r>
      <w:r>
        <w:t xml:space="preserve">and 5,500 km</w:t>
      </w:r>
      <w:r>
        <w:rPr>
          <w:vertAlign w:val="superscript"/>
        </w:rPr>
        <w:t xml:space="preserve">2</w:t>
      </w:r>
      <w:r>
        <w:t xml:space="preserve"> </w:t>
      </w:r>
      <w:r>
        <w:t xml:space="preserve">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pPr>
        <w:pStyle w:val="BodyText"/>
      </w:pPr>
      <w:r>
        <w:t xml:space="preserve">Closing these gaps requires differentiated strategies. High-enabling countries can deliver measurable biodiversity and climate gains by converting minimally protected MPAs into fully protected refuges—particularly for blue-carbon ecosystems such as mangroves, saltmarshes, and seagrasses, where tens of thousands of square kilometres remain under weak regulation. Because the top ten sovereign territories already control 87% (11.97 million km</w:t>
      </w:r>
      <w:r>
        <w:rPr>
          <w:vertAlign w:val="superscript"/>
        </w:rPr>
        <w:t xml:space="preserve">2</w:t>
      </w:r>
      <w:r>
        <w:t xml:space="preserve">) of existing fully protected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MPA success to governance quality and economic diversification</w:t>
      </w:r>
      <w:r>
        <w:rPr>
          <w:vertAlign w:val="superscript"/>
        </w:rPr>
        <w:t xml:space="preserve">8</w:t>
      </w:r>
      <w:r>
        <w:t xml:space="preserve">, and provides a practical framework for directing finance, technology transfer, and community partnerships.</w:t>
      </w:r>
    </w:p>
    <w:p>
      <w:pPr>
        <w:pStyle w:val="Heading1"/>
      </w:pPr>
      <w:bookmarkStart w:id="30" w:name="discussion"/>
      <w:r>
        <w:t xml:space="preserve">DISCUSSION</w:t>
      </w:r>
      <w:bookmarkEnd w:id="30"/>
    </w:p>
    <w:p>
      <w:pPr>
        <w:pStyle w:val="FirstParagraph"/>
      </w:pPr>
      <w:r>
        <w:t xml:space="preserve">Upgrades complement rather than replace the establishment of new MPAs and recognition of high-quality OECMs; they unlock immediate conservation gains while broader spatial planning, new designations, and BBNJ implementation advance in parallel18,28. Empirical evidence shows that some countries have strengthened MPA regulations without harming industrial fishing sectors29, demonstrating that regulatory upgrades are feasible where enabling conditions are strong. Because the top ten sovereign territories already steward 87% (11.97 million km</w:t>
      </w:r>
      <w:r>
        <w:rPr>
          <w:vertAlign w:val="superscript"/>
        </w:rPr>
        <w:t xml:space="preserve">2</w:t>
      </w:r>
      <w:r>
        <w:t xml:space="preserve">) of the world’s fully protected 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minimally protected habitat overlaps with high institutional capacity, our analysis identifies specific jurisdictions where governments, Indigenous and community partners, and funders can prioritize action.</w:t>
      </w:r>
    </w:p>
    <w:p>
      <w:pPr>
        <w:pStyle w:val="BodyText"/>
      </w:pPr>
      <w:r>
        <w:t xml:space="preserve">International cooperation and finance mechanisms can support these upgrades. Investments in ranger programs, satellite and shore-based surveillance</w:t>
      </w:r>
      <w:r>
        <w:rPr>
          <w:vertAlign w:val="superscript"/>
        </w:rPr>
        <w:t xml:space="preserve">29–31</w:t>
      </w:r>
      <w:r>
        <w:t xml:space="preserve">, and participatory co-management structures</w:t>
      </w:r>
      <w:r>
        <w:rPr>
          <w:vertAlign w:val="superscript"/>
        </w:rPr>
        <w:t xml:space="preserve">32</w:t>
      </w:r>
      <w:r>
        <w:t xml:space="preserve"> </w:t>
      </w:r>
      <w:r>
        <w:t xml:space="preserve">strengthen enforcement where local capacity is limited. Financial instruments—including blue bonds, debt-for-nature swaps, and benefit-sharing arrangements—can help align the costs and benefits of stricter protection</w:t>
      </w:r>
      <w:r>
        <w:rPr>
          <w:vertAlign w:val="superscript"/>
        </w:rPr>
        <w:t xml:space="preserve">33,34</w:t>
      </w:r>
      <w:r>
        <w:t xml:space="preserve">. Evidence suggests that where communities participate in governance and share economic returns from ecotourism or fisheries spillover, compliance increases and the risk of ineffective</w:t>
      </w:r>
      <w:r>
        <w:t xml:space="preserve"> </w:t>
      </w:r>
      <w:r>
        <w:t xml:space="preserve">“</w:t>
      </w:r>
      <w:r>
        <w:t xml:space="preserve">paper parks</w:t>
      </w:r>
      <w:r>
        <w:t xml:space="preserve">”</w:t>
      </w:r>
      <w:r>
        <w:t xml:space="preserve"> </w:t>
      </w:r>
      <w:r>
        <w:t xml:space="preserve">declines</w:t>
      </w:r>
      <w:r>
        <w:rPr>
          <w:vertAlign w:val="superscript"/>
        </w:rPr>
        <w:t xml:space="preserve">10,35</w:t>
      </w:r>
      <w:r>
        <w:t xml:space="preserve">. The 2025 UN Ocean Conference</w:t>
      </w:r>
      <w:r>
        <w:t xml:space="preserve"> </w:t>
      </w:r>
      <w:r>
        <w:t xml:space="preserve">“</w:t>
      </w:r>
      <w:r>
        <w:t xml:space="preserve">Pact for the Ocean</w:t>
      </w:r>
      <w:r>
        <w:t xml:space="preserve">”</w:t>
      </w:r>
      <w:r>
        <w:t xml:space="preserve"> </w:t>
      </w:r>
      <w:r>
        <w:t xml:space="preserve">calls for accelerated delivery of fully protected MPAs</w:t>
      </w:r>
      <w:r>
        <w:rPr>
          <w:vertAlign w:val="superscript"/>
        </w:rPr>
        <w:t xml:space="preserve">36</w:t>
      </w:r>
      <w:r>
        <w:t xml:space="preserve">; the spatial priorities identified here provide concrete targets for directing that support. 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 xml:space="preserve">18</w:t>
      </w:r>
      <w:r>
        <w:t xml:space="preserve">, operational mechanisms are still emerging; the jurisdictions identified here can advance measurable progress within their national waters while BBNJ institutions develop.</w:t>
      </w:r>
    </w:p>
    <w:p>
      <w:pPr>
        <w:pStyle w:val="BodyText"/>
      </w:pPr>
      <w:r>
        <w:t xml:space="preserve">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w:t>
      </w:r>
      <w:r>
        <w:rPr>
          <w:vertAlign w:val="superscript"/>
        </w:rPr>
        <w:t xml:space="preserve">2</w:t>
      </w:r>
      <w:r>
        <w:t xml:space="preserve"> </w:t>
      </w:r>
      <w:r>
        <w:t xml:space="preserve">(approximately 188,000 coastal MPAs at an average size of 10 km</w:t>
      </w:r>
      <w:r>
        <w:rPr>
          <w:vertAlign w:val="superscript"/>
        </w:rPr>
        <w:t xml:space="preserve">2</w:t>
      </w:r>
      <w:r>
        <w:t xml:space="preserve">) by 2030</w:t>
      </w:r>
      <w:r>
        <w:rPr>
          <w:vertAlign w:val="superscript"/>
        </w:rPr>
        <w:t xml:space="preserve">28</w:t>
      </w:r>
      <w:r>
        <w:t xml:space="preserve">. A strategy prioritizing regulatory quality offers a more effective approach than continued expansion of minimally protected areas</w:t>
      </w:r>
      <w:r>
        <w:rPr>
          <w:vertAlign w:val="superscript"/>
        </w:rPr>
        <w:t xml:space="preserve">1,18,36</w:t>
      </w:r>
      <w:r>
        <w:t xml:space="preserve">.</w:t>
      </w:r>
    </w:p>
    <w:p>
      <w:pPr>
        <w:pStyle w:val="Heading2"/>
      </w:pPr>
      <w:bookmarkStart w:id="31" w:name="limitations-of-the-study"/>
      <w:r>
        <w:t xml:space="preserve">Limitations of the study</w:t>
      </w:r>
      <w:bookmarkEnd w:id="31"/>
    </w:p>
    <w:p>
      <w:pPr>
        <w:pStyle w:val="FirstParagraph"/>
      </w:pPr>
      <w:r>
        <w:t xml:space="preserve">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 xml:space="preserve">49</w:t>
      </w:r>
      <w:r>
        <w:t xml:space="preserve">. 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pPr>
        <w:pStyle w:val="BodyText"/>
      </w:pPr>
      <w:r>
        <w:drawing>
          <wp:inline>
            <wp:extent cx="5943600" cy="4245428"/>
            <wp:effectExtent b="0" l="0" r="0" t="0"/>
            <wp:docPr descr="Figure 1" title="" id="1" name="Picture"/>
            <a:graphic>
              <a:graphicData uri="http://schemas.openxmlformats.org/drawingml/2006/picture">
                <pic:pic>
                  <pic:nvPicPr>
                    <pic:cNvPr descr="../outputs/figures/figure_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rPr>
        <w:t xml:space="preserve">Figure 1. Global MPA progress has stalled. (A) Cumulative share of the ocean under minimally/moderately protected (LFP 1–3; green) and highly/fully protected (LFP 4–5; blue) MPAs from 2000–2025. (B) Annual change in MPA protection (percentage points). (C) 2025 habitat coverage for warm- and cold-water corals, seagrasses, saltmarshes, and mangroves partitioned by protection level. (D) Conceptual social-cost trajectories contrasting minimally protected MPAs (green) and highly/fully protected MPAs (blue).</w:t>
      </w:r>
    </w:p>
    <w:p>
      <w:pPr>
        <w:pStyle w:val="BodyText"/>
      </w:pPr>
      <w:r>
        <w:drawing>
          <wp:inline>
            <wp:extent cx="5943600" cy="5943600"/>
            <wp:effectExtent b="0" l="0" r="0" t="0"/>
            <wp:docPr descr="Figure 2" title="" id="1" name="Picture"/>
            <a:graphic>
              <a:graphicData uri="http://schemas.openxmlformats.org/drawingml/2006/picture">
                <pic:pic>
                  <pic:nvPicPr>
                    <pic:cNvPr descr="../outputs/figures/figure_2.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rPr>
        <w:t xml:space="preserve">Figure 2. High-capacity jurisdictions dominate upgrade potential. (A) World map highlighting countries with enabling scores ≥70; colours denote each EEZ’s share of global coastal-habitat extent that remains minimally protected (ocean areas only) and are rendered with a pseudo-logarithmic colour scale (σ = 0.01) to preserve contrast across orders of magnitude. Countries scoring below that threshold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pPr>
        <w:pStyle w:val="Heading1"/>
      </w:pPr>
      <w:bookmarkStart w:id="34" w:name="starmethods"/>
      <w:r>
        <w:t xml:space="preserve">STAR★Methods</w:t>
      </w:r>
      <w:bookmarkEnd w:id="34"/>
    </w:p>
    <w:p>
      <w:pPr>
        <w:pStyle w:val="Heading2"/>
      </w:pPr>
      <w:bookmarkStart w:id="35" w:name="key-resources-table"/>
      <w:r>
        <w:t xml:space="preserve">Key resources table</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REAGENT or RESOURCE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IDENTIFIER</w:t>
            </w:r>
          </w:p>
        </w:tc>
      </w:tr>
      <w:tr>
        <w:tc>
          <w:p>
            <w:pPr>
              <w:pStyle w:val="Compact"/>
              <w:jc w:val="left"/>
            </w:pPr>
            <w:r>
              <w:t xml:space="preserve">ProtectedSeas Navigator (release 03-28-25)</w:t>
            </w:r>
          </w:p>
        </w:tc>
        <w:tc>
          <w:p>
            <w:pPr>
              <w:pStyle w:val="Compact"/>
              <w:jc w:val="left"/>
            </w:pPr>
            <w:r>
              <w:t xml:space="preserve">ProtectedSeas Navigator portal</w:t>
            </w:r>
          </w:p>
        </w:tc>
        <w:tc>
          <w:p>
            <w:pPr>
              <w:pStyle w:val="Compact"/>
              <w:jc w:val="left"/>
            </w:pPr>
            <w:hyperlink r:id="rId36">
              <w:r>
                <w:rPr>
                  <w:rStyle w:val="Hyperlink"/>
                </w:rPr>
                <w:t xml:space="preserve">https://www.protectedseas.net/navigator</w:t>
              </w:r>
            </w:hyperlink>
          </w:p>
        </w:tc>
      </w:tr>
      <w:tr>
        <w:tc>
          <w:p>
            <w:pPr>
              <w:pStyle w:val="Compact"/>
              <w:jc w:val="left"/>
            </w:pPr>
            <w:r>
              <w:t xml:space="preserve">UNEP-WCMC global habitat layers (Mangroves v3, Seagrasses v7.1, Saltmarshes, Coral Reefs, Cold-water Corals)</w:t>
            </w:r>
          </w:p>
        </w:tc>
        <w:tc>
          <w:p>
            <w:pPr>
              <w:pStyle w:val="Compact"/>
              <w:jc w:val="left"/>
            </w:pPr>
            <w:r>
              <w:t xml:space="preserve">UNEP-WCMC Ocean Data Viewer</w:t>
            </w:r>
          </w:p>
        </w:tc>
        <w:tc>
          <w:p>
            <w:pPr>
              <w:pStyle w:val="Compact"/>
              <w:jc w:val="left"/>
            </w:pPr>
            <w:hyperlink r:id="rId37">
              <w:r>
                <w:rPr>
                  <w:rStyle w:val="Hyperlink"/>
                </w:rPr>
                <w:t xml:space="preserve">https://data.unep-wcmc.org</w:t>
              </w:r>
            </w:hyperlink>
          </w:p>
        </w:tc>
      </w:tr>
      <w:tr>
        <w:tc>
          <w:p>
            <w:pPr>
              <w:pStyle w:val="Compact"/>
              <w:jc w:val="left"/>
            </w:pPr>
            <w:r>
              <w:t xml:space="preserve">Enabling conditions for an equitable and sustainable blue economy dataset</w:t>
            </w:r>
          </w:p>
        </w:tc>
        <w:tc>
          <w:p>
            <w:pPr>
              <w:pStyle w:val="Compact"/>
              <w:jc w:val="left"/>
            </w:pPr>
            <w:r>
              <w:t xml:space="preserve">Cisneros-Montemayor et al. (2021) Dryad repository</w:t>
            </w:r>
          </w:p>
        </w:tc>
        <w:tc>
          <w:p>
            <w:pPr>
              <w:pStyle w:val="Compact"/>
              <w:jc w:val="left"/>
            </w:pPr>
            <w:hyperlink r:id="rId38">
              <w:r>
                <w:rPr>
                  <w:rStyle w:val="Hyperlink"/>
                </w:rPr>
                <w:t xml:space="preserve">https://doi.org/10.5061/dryad.63xsj3v1h</w:t>
              </w:r>
            </w:hyperlink>
          </w:p>
        </w:tc>
      </w:tr>
      <w:tr>
        <w:tc>
          <w:p>
            <w:pPr>
              <w:pStyle w:val="Compact"/>
              <w:jc w:val="left"/>
            </w:pPr>
            <w:r>
              <w:t xml:space="preserve">Processed raster outputs (1 km MPAs and habitats)</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Reproducible analysis repository and supplementary code</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 (v4.3 or later) with</w:t>
            </w:r>
            <w:r>
              <w:t xml:space="preserve"> </w:t>
            </w:r>
            <w:r>
              <w:rPr>
                <w:rStyle w:val="VerbatimChar"/>
              </w:rPr>
              <w:t xml:space="preserve">targets</w:t>
            </w:r>
            <w:r>
              <w:t xml:space="preserve">,</w:t>
            </w:r>
            <w:r>
              <w:t xml:space="preserve"> </w:t>
            </w:r>
            <w:r>
              <w:rPr>
                <w:rStyle w:val="VerbatimChar"/>
              </w:rPr>
              <w:t xml:space="preserve">tarchetypes</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r>
              <w:t xml:space="preserve"> </w:t>
            </w:r>
            <w:r>
              <w:rPr>
                <w:rStyle w:val="VerbatimChar"/>
              </w:rPr>
              <w:t xml:space="preserve">ggplot2</w:t>
            </w:r>
            <w:r>
              <w:t xml:space="preserve">,</w:t>
            </w:r>
            <w:r>
              <w:t xml:space="preserve"> </w:t>
            </w:r>
            <w:r>
              <w:rPr>
                <w:rStyle w:val="VerbatimChar"/>
              </w:rPr>
              <w:t xml:space="preserve">rmarkdown</w:t>
            </w:r>
            <w:r>
              <w:t xml:space="preserve">, and dependencies</w:t>
            </w:r>
          </w:p>
        </w:tc>
        <w:tc>
          <w:p>
            <w:pPr>
              <w:pStyle w:val="Compact"/>
              <w:jc w:val="left"/>
            </w:pPr>
            <w:r>
              <w:t xml:space="preserve">CRAN</w:t>
            </w:r>
          </w:p>
        </w:tc>
        <w:tc>
          <w:p>
            <w:pPr>
              <w:pStyle w:val="Compact"/>
              <w:jc w:val="left"/>
            </w:pPr>
            <w:hyperlink r:id="rId40">
              <w:r>
                <w:rPr>
                  <w:rStyle w:val="Hyperlink"/>
                </w:rPr>
                <w:t xml:space="preserve">https://cran.r-project.org</w:t>
              </w:r>
            </w:hyperlink>
          </w:p>
        </w:tc>
      </w:tr>
      <w:tr>
        <w:tc>
          <w:p>
            <w:pPr>
              <w:pStyle w:val="Compact"/>
              <w:jc w:val="left"/>
            </w:pPr>
            <w:r>
              <w:t xml:space="preserve">Python environment with</w:t>
            </w:r>
            <w:r>
              <w:t xml:space="preserve"> </w:t>
            </w:r>
            <w:r>
              <w:rPr>
                <w:rStyle w:val="VerbatimChar"/>
              </w:rPr>
              <w:t xml:space="preserve">geopandas</w:t>
            </w:r>
            <w:r>
              <w:t xml:space="preserve">,</w:t>
            </w:r>
            <w:r>
              <w:t xml:space="preserve"> </w:t>
            </w:r>
            <w:r>
              <w:rPr>
                <w:rStyle w:val="VerbatimChar"/>
              </w:rPr>
              <w:t xml:space="preserve">rasterio</w:t>
            </w:r>
            <w:r>
              <w:t xml:space="preserve">,</w:t>
            </w:r>
            <w:r>
              <w:t xml:space="preserve"> </w:t>
            </w:r>
            <w:r>
              <w:rPr>
                <w:rStyle w:val="VerbatimChar"/>
              </w:rPr>
              <w:t xml:space="preserve">numpy</w:t>
            </w:r>
            <w:r>
              <w:t xml:space="preserve">,</w:t>
            </w:r>
            <w:r>
              <w:t xml:space="preserve"> </w:t>
            </w:r>
            <w:r>
              <w:rPr>
                <w:rStyle w:val="VerbatimChar"/>
              </w:rPr>
              <w:t xml:space="preserve">shapely</w:t>
            </w:r>
          </w:p>
        </w:tc>
        <w:tc>
          <w:p>
            <w:pPr>
              <w:pStyle w:val="Compact"/>
              <w:jc w:val="left"/>
            </w:pPr>
            <w:r>
              <w:t xml:space="preserve">PyPI</w:t>
            </w:r>
          </w:p>
        </w:tc>
        <w:tc>
          <w:p>
            <w:pPr>
              <w:pStyle w:val="Compact"/>
              <w:jc w:val="left"/>
            </w:pPr>
            <w:hyperlink r:id="rId41">
              <w:r>
                <w:rPr>
                  <w:rStyle w:val="Hyperlink"/>
                </w:rPr>
                <w:t xml:space="preserve">https://pypi.org/project/geopandas/</w:t>
              </w:r>
            </w:hyperlink>
          </w:p>
        </w:tc>
      </w:tr>
    </w:tbl>
    <w:p>
      <w:pPr>
        <w:pStyle w:val="Heading2"/>
      </w:pPr>
      <w:bookmarkStart w:id="42" w:name="resource-availability"/>
      <w:r>
        <w:t xml:space="preserve">Resource availability</w:t>
      </w:r>
      <w:bookmarkEnd w:id="42"/>
    </w:p>
    <w:p>
      <w:pPr>
        <w:pStyle w:val="Heading3"/>
      </w:pPr>
      <w:bookmarkStart w:id="43" w:name="lead-contact"/>
      <w:r>
        <w:t xml:space="preserve">Lead contact</w:t>
      </w:r>
      <w:bookmarkEnd w:id="43"/>
    </w:p>
    <w:p>
      <w:pPr>
        <w:pStyle w:val="FirstParagraph"/>
      </w:pPr>
      <w:r>
        <w:t xml:space="preserve">Further information and requests for resources should be directed to the lead author (Fabio Favoretto;</w:t>
      </w:r>
      <w:r>
        <w:t xml:space="preserve"> </w:t>
      </w:r>
      <w:hyperlink r:id="rId20">
        <w:r>
          <w:rPr>
            <w:rStyle w:val="Hyperlink"/>
          </w:rPr>
          <w:t xml:space="preserve">fabio@gocmarineprogram.org</w:t>
        </w:r>
      </w:hyperlink>
      <w:r>
        <w:t xml:space="preserve">).</w:t>
      </w:r>
    </w:p>
    <w:p>
      <w:pPr>
        <w:pStyle w:val="Heading3"/>
      </w:pPr>
      <w:bookmarkStart w:id="44" w:name="materials-availability"/>
      <w:r>
        <w:t xml:space="preserve">Materials availability</w:t>
      </w:r>
      <w:bookmarkEnd w:id="44"/>
    </w:p>
    <w:p>
      <w:pPr>
        <w:pStyle w:val="FirstParagraph"/>
      </w:pPr>
      <w:r>
        <w:t xml:space="preserve">This study did not generate new physical materials or reagents.</w:t>
      </w:r>
    </w:p>
    <w:p>
      <w:pPr>
        <w:pStyle w:val="Heading3"/>
      </w:pPr>
      <w:bookmarkStart w:id="45" w:name="data-and-code-availability"/>
      <w:r>
        <w:t xml:space="preserve">Data and code availability</w:t>
      </w:r>
      <w:bookmarkEnd w:id="45"/>
    </w:p>
    <w:p>
      <w:pPr>
        <w:numPr>
          <w:ilvl w:val="0"/>
          <w:numId w:val="1003"/>
        </w:numPr>
        <w:pStyle w:val="Compact"/>
      </w:pPr>
      <w:r>
        <w:t xml:space="preserve">ProtectedSeas Navigator data (release 03-28-25) are available for research via the ProtectedSeas portal (</w:t>
      </w:r>
      <w:hyperlink r:id="rId36">
        <w:r>
          <w:rPr>
            <w:rStyle w:val="Hyperlink"/>
          </w:rPr>
          <w:t xml:space="preserve">https://www.protectedseas.net/navigator</w:t>
        </w:r>
      </w:hyperlink>
      <w:r>
        <w:t xml:space="preserve">).</w:t>
      </w:r>
    </w:p>
    <w:p>
      <w:pPr>
        <w:numPr>
          <w:ilvl w:val="0"/>
          <w:numId w:val="1003"/>
        </w:numPr>
        <w:pStyle w:val="Compact"/>
      </w:pPr>
      <w:r>
        <w:t xml:space="preserve">UNEP-WCMC habitat shapefiles (Global Mangrove Watch v3, Global Seagrasses v7.1, Global Saltmarshes, Global Coral Reefs, Global Cold-water Corals) can be downloaded from the Ocean Data Viewer</w:t>
      </w:r>
      <w:r>
        <w:rPr>
          <w:vertAlign w:val="superscript"/>
        </w:rPr>
        <w:t xml:space="preserve">49</w:t>
      </w:r>
      <w:r>
        <w:t xml:space="preserve">.</w:t>
      </w:r>
    </w:p>
    <w:p>
      <w:pPr>
        <w:numPr>
          <w:ilvl w:val="0"/>
          <w:numId w:val="1003"/>
        </w:numPr>
        <w:pStyle w:val="Compact"/>
      </w:pPr>
      <w:r>
        <w:t xml:space="preserve">Enabling-condition scores are accessible through the Dryad repository associated with Cisneros-Montemayor et al. (2021).</w:t>
      </w:r>
    </w:p>
    <w:p>
      <w:pPr>
        <w:numPr>
          <w:ilvl w:val="0"/>
          <w:numId w:val="1003"/>
        </w:numPr>
        <w:pStyle w:val="Compact"/>
      </w:pPr>
      <w:r>
        <w:t xml:space="preserve">All processed rasters, tables, and figure-ready outputs produced in this project are distributed in the accompanying repository</w:t>
      </w:r>
      <w:r>
        <w:t xml:space="preserve"> </w:t>
      </w:r>
      <w:hyperlink r:id="rId39">
        <w:r>
          <w:rPr>
            <w:rStyle w:val="Hyperlink"/>
          </w:rPr>
          <w:t xml:space="preserve">https://github.com/Fabbiologia/mpa_momentum</w:t>
        </w:r>
      </w:hyperlink>
      <w:r>
        <w:t xml:space="preserve"> </w:t>
      </w:r>
      <w:r>
        <w:t xml:space="preserve">(</w:t>
      </w:r>
      <w:r>
        <w:rPr>
          <w:rStyle w:val="VerbatimChar"/>
        </w:rPr>
        <w:t xml:space="preserve">data/processed/</w:t>
      </w:r>
      <w:r>
        <w:t xml:space="preserve">,</w:t>
      </w:r>
      <w:r>
        <w:t xml:space="preserve"> </w:t>
      </w:r>
      <w:r>
        <w:rPr>
          <w:rStyle w:val="VerbatimChar"/>
        </w:rPr>
        <w:t xml:space="preserve">outputs/</w:t>
      </w:r>
      <w:r>
        <w:t xml:space="preserve">). Code to reproduce the analysis is available under</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w:t>
      </w:r>
    </w:p>
    <w:p>
      <w:pPr>
        <w:numPr>
          <w:ilvl w:val="0"/>
          <w:numId w:val="1003"/>
        </w:numPr>
        <w:pStyle w:val="Compact"/>
      </w:pPr>
      <w:r>
        <w:t xml:space="preserve">The full {targets}-based analysis pipeline, including scripts, configuration files, and processed datasets required to regenerate every figure and table, is maintained at</w:t>
      </w:r>
      <w:r>
        <w:t xml:space="preserve"> </w:t>
      </w:r>
      <w:hyperlink r:id="rId39">
        <w:r>
          <w:rPr>
            <w:rStyle w:val="Hyperlink"/>
          </w:rPr>
          <w:t xml:space="preserve">https://github.com/Fabbiologia/mpa_momentum</w:t>
        </w:r>
      </w:hyperlink>
      <w:r>
        <w:t xml:space="preserve"> </w:t>
      </w:r>
      <w:r>
        <w:t xml:space="preserve">and will be deposited as supplementary code and data (with a mirrored Zenodo archive) alongside the revised submission for long-term access.</w:t>
      </w:r>
    </w:p>
    <w:p>
      <w:pPr>
        <w:pStyle w:val="Heading2"/>
      </w:pPr>
      <w:bookmarkStart w:id="46" w:name="method-details"/>
      <w:r>
        <w:t xml:space="preserve">Method details</w:t>
      </w:r>
      <w:bookmarkEnd w:id="46"/>
    </w:p>
    <w:p>
      <w:pPr>
        <w:pStyle w:val="Heading3"/>
      </w:pPr>
      <w:bookmarkStart w:id="47" w:name="marine-protected-area-data-processing"/>
      <w:r>
        <w:t xml:space="preserve">Marine Protected Area data processing</w:t>
      </w:r>
      <w:bookmarkEnd w:id="47"/>
    </w:p>
    <w:p>
      <w:pPr>
        <w:pStyle w:val="FirstParagraph"/>
      </w:pPr>
      <w:r>
        <w:t xml:space="preserve">We analysed global marine protection using the 03-28-2025 ProtectedSeas Navigator release, which provides rule-based classifications for Marine Protected Areas (category_name ==</w:t>
      </w:r>
      <w:r>
        <w:t xml:space="preserve"> </w:t>
      </w:r>
      <w:r>
        <w:t xml:space="preserve">“</w:t>
      </w:r>
      <w:r>
        <w:t xml:space="preserve">Marine Protected Area</w:t>
      </w:r>
      <w:r>
        <w:t xml:space="preserve">”</w:t>
      </w:r>
      <w:r>
        <w:t xml:space="preserve">) and other domestic tools. Following established practice</w:t>
      </w:r>
      <w:r>
        <w:rPr>
          <w:vertAlign w:val="superscript"/>
        </w:rPr>
        <w:t xml:space="preserve">23,37</w:t>
      </w:r>
      <w:r>
        <w:t xml:space="preserve">, we classified Level of Fishing Protection (LFP) scores 1–3 as</w:t>
      </w:r>
      <w:r>
        <w:t xml:space="preserve"> </w:t>
      </w:r>
      <w:r>
        <w:t xml:space="preserve">“</w:t>
      </w:r>
      <w:r>
        <w:t xml:space="preserve">minimally/moderately protected</w:t>
      </w:r>
      <w:r>
        <w:t xml:space="preserve">”</w:t>
      </w:r>
      <w:r>
        <w:t xml:space="preserve"> </w:t>
      </w:r>
      <w:r>
        <w:t xml:space="preserve">and LFP 4–5 as</w:t>
      </w:r>
      <w:r>
        <w:t xml:space="preserve"> </w:t>
      </w:r>
      <w:r>
        <w:t xml:space="preserve">“</w:t>
      </w:r>
      <w:r>
        <w:t xml:space="preserve">highly/fully protected.</w:t>
      </w:r>
      <w:r>
        <w:t xml:space="preserve">”</w:t>
      </w:r>
      <w:r>
        <w:t xml:space="preserve"> </w:t>
      </w:r>
      <w:r>
        <w:t xml:space="preserve">After harmonising attributes and dissolving parent–child polygons, we generated two 1 km Mollweide rasters (EPSG:6933): one for MPAs (including high-seas provisions) and a second for all other measures after excluding Fisheries Management Areas and</w:t>
      </w:r>
      <w:r>
        <w:t xml:space="preserve"> </w:t>
      </w:r>
      <w:r>
        <w:t xml:space="preserve">“</w:t>
      </w:r>
      <w:r>
        <w:t xml:space="preserve">High Seas / International</w:t>
      </w:r>
      <w:r>
        <w:t xml:space="preserve">”</w:t>
      </w:r>
      <w:r>
        <w:t xml:space="preserve"> </w:t>
      </w:r>
      <w:r>
        <w:t xml:space="preserve">records. Establishment year metadata were used to create cumulative annual snapshots from 2000–2025 for each raster, enabling consistent trend comparisons between MPAs and other measures.</w:t>
      </w:r>
    </w:p>
    <w:p>
      <w:pPr>
        <w:pStyle w:val="Heading3"/>
      </w:pPr>
      <w:bookmarkStart w:id="48" w:name="mpa-statistics"/>
      <w:r>
        <w:t xml:space="preserve">MPA statistics</w:t>
      </w:r>
      <w:bookmarkEnd w:id="48"/>
    </w:p>
    <w:p>
      <w:pPr>
        <w:pStyle w:val="FirstParagraph"/>
      </w:pPr>
      <w:r>
        <w:t xml:space="preserve">Yearly global coverage (Figure 1A–B) was derived from the MPA raster by summing LFP counts, converting 1 km cells to square kilometres, and calculating cumulative and annual percentage change relative to the global ocean area (361,000,000 km</w:t>
      </w:r>
      <w:r>
        <w:rPr>
          <w:vertAlign w:val="superscript"/>
        </w:rPr>
        <w:t xml:space="preserve">2</w:t>
      </w:r>
      <w:r>
        <w:t xml:space="preserve">). For country-level summaries we overlaid the MPA raster (and, where relevant, the non-MPA raster) with the Exclusive Economic Zone (EEZ) dataset, counting minimally/moderately and highly/fully protected cells within each sovereign EEZ. These values were subsequently joined to enabling-condition scores to produce Figure 2A. To focus the map on high-capacity jurisdictions we retained territories scoring ≥70, estimated each upgrade gap as the minimally protected minus fully protected habitat area, and normalised those gaps by the global coastal-habitat total generated by the raster workflow so that shading represents each EEZ’s share of globally exposed habitat. Jurisdictions below the threshold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pPr>
        <w:pStyle w:val="Heading3"/>
      </w:pPr>
      <w:bookmarkStart w:id="49" w:name="marine-habitat-protection-assessment"/>
      <w:r>
        <w:t xml:space="preserve">Marine habitat protection assessment</w:t>
      </w:r>
      <w:bookmarkEnd w:id="49"/>
    </w:p>
    <w:p>
      <w:pPr>
        <w:pStyle w:val="FirstParagraph"/>
      </w:pPr>
      <w:r>
        <w:t xml:space="preserve">We analyzed protection status for five critical marine habitats: Mangroves, Seagrasses, Coral reefs, Saltmarshes, and Cold-water corals. Here we modified code and methods from Kumagai et al</w:t>
      </w:r>
      <w:r>
        <w:rPr>
          <w:vertAlign w:val="superscript"/>
        </w:rPr>
        <w:t xml:space="preserve">20</w:t>
      </w:r>
      <w:r>
        <w:t xml:space="preserve"> </w:t>
      </w:r>
      <w:r>
        <w:t xml:space="preserve">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Habitat polygons were rasterized to 1km resolution. Some habitats distributions were represented by points instead of polygons, in that case both point and polygon data were incorporated, with 1km area buffering applied to point data based on habitat characteristics</w:t>
      </w:r>
      <w:r>
        <w:rPr>
          <w:vertAlign w:val="superscript"/>
        </w:rPr>
        <w:t xml:space="preserve">20</w:t>
      </w:r>
      <w:r>
        <w:t xml:space="preserve">. We then quantified habitat protection by overlaying habitat distributions with MPA boundaries for each year, generating time series of protection status. This allowed us to track changes in the proportion of each habitat under various levels of protection over time.</w:t>
      </w:r>
    </w:p>
    <w:p>
      <w:pPr>
        <w:pStyle w:val="BodyText"/>
      </w:pPr>
      <w:r>
        <w:t xml:space="preserve">The UNEP-WCMC datasets we use are mapped, observational products (not statistical models), ensuring that habitat presence aligns with regulatory boundaries for downstream intersection with ProtectedSeas MPAs. Following Kumagai et al. (2021), we store the raw shapefiles, reproject them to the equal-area EPSG:6933 CRS, buffer point features to 1 km</w:t>
      </w:r>
      <w:r>
        <w:rPr>
          <w:vertAlign w:val="superscript"/>
        </w:rPr>
        <w:t xml:space="preserve">2</w:t>
      </w:r>
      <w:r>
        <w:t xml:space="preserve"> </w:t>
      </w:r>
      <w:r>
        <w:t xml:space="preserve">circles, and rasterise each habitat at 1 km resolution. The workflow ingests the Global Mangrove Watch v3, Global Distribution of Seagrasses v7.1, Global Saltmarshes, Global Coral Reefs, and Global Cold-water Corals layers available from the UNEP-WCMC Ocean Data Viewer</w:t>
      </w:r>
      <w:r>
        <w:rPr>
          <w:vertAlign w:val="superscript"/>
        </w:rPr>
        <w:t xml:space="preserve">21</w:t>
      </w:r>
      <w:r>
        <w:t xml:space="preserve">. The resulting rasters and the accompanying summary tables capture pixel counts and total area (km</w:t>
      </w:r>
      <w:r>
        <w:rPr>
          <w:vertAlign w:val="superscript"/>
        </w:rPr>
        <w:t xml:space="preserve">2</w:t>
      </w:r>
      <w:r>
        <w:t xml:space="preserve">) so the workflow remains FAIR and reproducible.</w:t>
      </w:r>
    </w:p>
    <w:p>
      <w:pPr>
        <w:pStyle w:val="Heading3"/>
      </w:pPr>
      <w:bookmarkStart w:id="50" w:name="enabling-conditions-analysis"/>
      <w:r>
        <w:t xml:space="preserve">Enabling conditions analysis</w:t>
      </w:r>
      <w:bookmarkEnd w:id="50"/>
    </w:p>
    <w:p>
      <w:pPr>
        <w:pStyle w:val="FirstParagraph"/>
      </w:pPr>
      <w:r>
        <w:t xml:space="preserve">We summarised the Cisneros-Montemayor et al.11 enabling-condition dataset by sovereign territory, trimmed leading and trailing whitespace, and recoded Antarctica as missing to reflect its treaty governance. Enabling bands were defined as &lt;50, 50–69, ≥70, and</w:t>
      </w:r>
      <w:r>
        <w:t xml:space="preserve"> </w:t>
      </w:r>
      <w:r>
        <w:t xml:space="preserve">“</w:t>
      </w:r>
      <w:r>
        <w:t xml:space="preserve">Missing.</w:t>
      </w:r>
      <w:r>
        <w:t xml:space="preserve">”</w:t>
      </w:r>
      <w:r>
        <w:t xml:space="preserve"> </w:t>
      </w:r>
      <w:r>
        <w:t xml:space="preserve">Unless otherwise noted (</w:t>
      </w:r>
      <w:r>
        <w:rPr>
          <w:i/>
        </w:rPr>
        <w:t xml:space="preserve">e.g.</w:t>
      </w:r>
      <w:r>
        <w:t xml:space="preserve">, when reporting raw totals), shares and visualisations exclude the</w:t>
      </w:r>
      <w:r>
        <w:t xml:space="preserve"> </w:t>
      </w:r>
      <w:r>
        <w:t xml:space="preserve">“</w:t>
      </w:r>
      <w:r>
        <w:t xml:space="preserve">Missing</w:t>
      </w:r>
      <w:r>
        <w:t xml:space="preserve">”</w:t>
      </w:r>
      <w:r>
        <w:t xml:space="preserve"> </w:t>
      </w:r>
      <w:r>
        <w:t xml:space="preserve">band so that countries lacking enabling-condition data do not influence interpretation. These scores were joined to the country-level MPA summaries and to habitat-area tables described above to quantify the distribution of fully and minimally protected ecosystems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p>
    <w:p>
      <w:pPr>
        <w:pStyle w:val="BodyText"/>
      </w:pPr>
      <w:r>
        <w:t xml:space="preserve">Our emphasis on EEZs reflects the jurisdictions where governments can act immediately. While the BBNJ Agreement lays the groundwork for future high-seas conservation, operational mechanisms are still emerging; the upgrade roadmap therefore focuses on national decisions that can be taken now. We consider OECMs as an important complement, but because their standards and enforcement vary widely, we do not mix them into the quantitative analyses. Instead, we identify where high-scoring states already host large areas of minimally protected MPAs so that future policy can prioritise strict, no-take refuges with clearly demonstrated ecological benefits.</w:t>
      </w:r>
    </w:p>
    <w:p>
      <w:pPr>
        <w:pStyle w:val="BodyText"/>
      </w:pPr>
      <w:r>
        <w:t xml:space="preserve">Our focus on EEZs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pPr>
        <w:pStyle w:val="Heading1"/>
      </w:pPr>
      <w:bookmarkStart w:id="51" w:name="acknowledgments"/>
      <w:r>
        <w:t xml:space="preserve">ACKNOWLEDGMENTS</w:t>
      </w:r>
      <w:bookmarkEnd w:id="51"/>
    </w:p>
    <w:p>
      <w:pPr>
        <w:pStyle w:val="FirstParagraph"/>
      </w:pPr>
      <w:r>
        <w:t xml:space="preserve">We thank reviewers comments that greatly improved this manuscript. F.F. wish to thank the Gulf of California Marine Program for the support.</w:t>
      </w:r>
    </w:p>
    <w:p>
      <w:pPr>
        <w:pStyle w:val="Heading1"/>
      </w:pPr>
      <w:bookmarkStart w:id="52" w:name="author-contributions"/>
      <w:r>
        <w:t xml:space="preserve">AUTHOR CONTRIBUTIONS</w:t>
      </w:r>
      <w:bookmarkEnd w:id="52"/>
    </w:p>
    <w:p>
      <w:pPr>
        <w:pStyle w:val="FirstParagraph"/>
      </w:pPr>
      <w:r>
        <w:t xml:space="preserve">Conceptualization, F.F. and O.A.O.; Methodology, F.F., J.A.K., and C.L.-S.; Investigation, F.F., J.A.K., C.L.-S., D.B., A.D., J.S., C.C., T.V., and V.Z.; Data curation, D.B., A.D., J.S., C.C., T.V., and V.Z.; Formal analysis, F.F. and J.A.K.; Visualization, F.F., J.A.K., and C.L.-S.; Writing—original draft, F.F. and C.L.-S.; Writing—review &amp; editing, all authors; Resources, V.Z. and P.G.; Funding acquisition, O.A.O.; Supervision, O.A.O. and P.G.</w:t>
      </w:r>
    </w:p>
    <w:p>
      <w:pPr>
        <w:pStyle w:val="Heading1"/>
      </w:pPr>
      <w:bookmarkStart w:id="53" w:name="declaration-of-interests"/>
      <w:r>
        <w:t xml:space="preserve">DECLARATION OF INTERESTS</w:t>
      </w:r>
      <w:bookmarkEnd w:id="53"/>
    </w:p>
    <w:p>
      <w:pPr>
        <w:pStyle w:val="FirstParagraph"/>
      </w:pPr>
      <w:r>
        <w:t xml:space="preserve">The authors declare no competing interests.</w:t>
      </w:r>
    </w:p>
    <w:p>
      <w:pPr>
        <w:pStyle w:val="Heading1"/>
      </w:pPr>
      <w:bookmarkStart w:id="54" w:name="Xfd35355eaff5be7167e13ac5f8f9ba5509cc5e8"/>
      <w:r>
        <w:t xml:space="preserve">DECLARATION OF GENERATIVE AI AND AI-ASSISTED TECHNOLOGIES</w:t>
      </w:r>
      <w:bookmarkEnd w:id="54"/>
    </w:p>
    <w:p>
      <w:pPr>
        <w:pStyle w:val="FirstParagraph"/>
      </w:pPr>
      <w:r>
        <w:t xml:space="preserve">The authors did not use generative AI or AI-assisted technologies in the preparation of this manuscript.</w:t>
      </w:r>
    </w:p>
    <w:p>
      <w:pPr>
        <w:pStyle w:val="Heading1"/>
      </w:pPr>
      <w:bookmarkStart w:id="55" w:name="supplemental-information"/>
      <w:r>
        <w:t xml:space="preserve">SUPPLEMENTAL INFORMATION</w:t>
      </w:r>
      <w:bookmarkEnd w:id="55"/>
    </w:p>
    <w:p>
      <w:pPr>
        <w:pStyle w:val="FirstParagraph"/>
      </w:pPr>
      <w:r>
        <w:rPr>
          <w:b/>
        </w:rPr>
        <w:t xml:space="preserve">Document S1.</w:t>
      </w:r>
      <w:r>
        <w:t xml:space="preserve"> </w:t>
      </w:r>
      <w:r>
        <w:t xml:space="preserve">Figures S1–S3, Tables S1–S3, and supplemental references (PDF)</w:t>
      </w:r>
      <w:r>
        <w:br/>
      </w:r>
      <w:r>
        <w:rPr>
          <w:b/>
        </w:rPr>
        <w:t xml:space="preserve">Data S1.</w:t>
      </w:r>
      <w:r>
        <w:t xml:space="preserve"> </w:t>
      </w:r>
      <w:r>
        <w:t xml:space="preserve">Processed rasters and tabular outputs supporting all figures (ZIP)</w:t>
      </w:r>
      <w:r>
        <w:br/>
      </w:r>
      <w:r>
        <w:rPr>
          <w:b/>
        </w:rPr>
        <w:t xml:space="preserve">Code S1.</w:t>
      </w:r>
      <w:r>
        <w:t xml:space="preserve"> </w:t>
      </w:r>
      <w:r>
        <w:t xml:space="preserve">Reproducible {targets} pipeline and manuscript source (ZIP), mirrored at</w:t>
      </w:r>
      <w:r>
        <w:t xml:space="preserve"> </w:t>
      </w:r>
      <w:hyperlink r:id="rId39">
        <w:r>
          <w:rPr>
            <w:rStyle w:val="Hyperlink"/>
          </w:rPr>
          <w:t xml:space="preserve">https://github.com/Fabbiologia/mpa_momentum</w:t>
        </w:r>
      </w:hyperlink>
    </w:p>
    <w:p>
      <w:pPr>
        <w:pStyle w:val="Heading1"/>
      </w:pPr>
      <w:bookmarkStart w:id="56" w:name="references"/>
      <w:r>
        <w:t xml:space="preserve">References</w:t>
      </w:r>
      <w:bookmarkEnd w:id="56"/>
    </w:p>
    <w:p>
      <w:pPr>
        <w:numPr>
          <w:ilvl w:val="0"/>
          <w:numId w:val="1004"/>
        </w:numPr>
      </w:pPr>
      <w:r>
        <w:t xml:space="preserve">Dinerstein, E., Vynne, C., Sala, E., Joshi, A.R., Fernando, S., Lovejoy, T.E., Mayorga, J., Olson, D., Asner, G.P., Baillie, J.E.M., et al. (2019). A Global Deal For Nature: Guiding principles, milestones, and targets. Sci. Adv. 5, eaaw2869.</w:t>
      </w:r>
      <w:r>
        <w:t xml:space="preserve"> </w:t>
      </w:r>
      <w:hyperlink r:id="rId57">
        <w:r>
          <w:rPr>
            <w:rStyle w:val="Hyperlink"/>
          </w:rPr>
          <w:t xml:space="preserve">https://doi.org/10.1126/sciadv.aaw2869</w:t>
        </w:r>
      </w:hyperlink>
      <w:r>
        <w:t xml:space="preserve">.</w:t>
      </w:r>
    </w:p>
    <w:p>
      <w:pPr>
        <w:numPr>
          <w:ilvl w:val="0"/>
          <w:numId w:val="1004"/>
        </w:numPr>
      </w:pPr>
      <w:r>
        <w:t xml:space="preserve">Smith, H., Quintana, A., and Campbell, L. (2024). Are targets really SMART-er? Challenging assumptions behind global environmental policy goals to realize ocean equity. Marit. Stud. 23, 30.</w:t>
      </w:r>
      <w:r>
        <w:t xml:space="preserve"> </w:t>
      </w:r>
      <w:hyperlink r:id="rId58">
        <w:r>
          <w:rPr>
            <w:rStyle w:val="Hyperlink"/>
          </w:rPr>
          <w:t xml:space="preserve">https://doi.org/10.1007/s40152-024-00374-0</w:t>
        </w:r>
      </w:hyperlink>
      <w:r>
        <w:t xml:space="preserve">.</w:t>
      </w:r>
    </w:p>
    <w:p>
      <w:pPr>
        <w:numPr>
          <w:ilvl w:val="0"/>
          <w:numId w:val="1004"/>
        </w:numPr>
      </w:pPr>
      <w:r>
        <w:t xml:space="preserve">Hughes, A.C. (2023). The Post‐2020 Global Biodiversity Framework: How did we get here, and where do we go next? Integr. Conserv. 2, 1–9.</w:t>
      </w:r>
      <w:r>
        <w:t xml:space="preserve"> </w:t>
      </w:r>
      <w:hyperlink r:id="rId59">
        <w:r>
          <w:rPr>
            <w:rStyle w:val="Hyperlink"/>
          </w:rPr>
          <w:t xml:space="preserve">https://doi.org/10.1002/inc3.16</w:t>
        </w:r>
      </w:hyperlink>
      <w:r>
        <w:t xml:space="preserve">.</w:t>
      </w:r>
    </w:p>
    <w:p>
      <w:pPr>
        <w:numPr>
          <w:ilvl w:val="0"/>
          <w:numId w:val="1004"/>
        </w:numPr>
      </w:pPr>
      <w:r>
        <w:t xml:space="preserve">Rockström, J., Steffen, W., Noone, K., Persson, Å., Chapin, F.S., Lambin, E.F., Lenton, T.M., Scheffer, M., Folke, C., Schellnhuber, H.J., et al. (2009). A safe operating space for humanity. Nature 461, 472–475.</w:t>
      </w:r>
      <w:r>
        <w:t xml:space="preserve"> </w:t>
      </w:r>
      <w:hyperlink r:id="rId60">
        <w:r>
          <w:rPr>
            <w:rStyle w:val="Hyperlink"/>
          </w:rPr>
          <w:t xml:space="preserve">https://doi.org/10.1038/461472a</w:t>
        </w:r>
      </w:hyperlink>
      <w:r>
        <w:t xml:space="preserve">.</w:t>
      </w:r>
    </w:p>
    <w:p>
      <w:pPr>
        <w:numPr>
          <w:ilvl w:val="0"/>
          <w:numId w:val="1004"/>
        </w:numPr>
      </w:pPr>
      <w:r>
        <w:t xml:space="preserve">Sala, E., Mayorga, J., Bradley, D., Cabral, R.B., Atwood, T.B., Auber, A., Cheung, W., Costello, C., Ferretti, F., Friedlander, A.M., et al. (2021). Protecting the global ocean for biodiversity, food and climate. Nature 592, 397–402.</w:t>
      </w:r>
      <w:r>
        <w:t xml:space="preserve"> </w:t>
      </w:r>
      <w:hyperlink r:id="rId61">
        <w:r>
          <w:rPr>
            <w:rStyle w:val="Hyperlink"/>
          </w:rPr>
          <w:t xml:space="preserve">https://doi.org/10.1038/s41586-021-03371-z</w:t>
        </w:r>
      </w:hyperlink>
      <w:r>
        <w:t xml:space="preserve">.</w:t>
      </w:r>
    </w:p>
    <w:p>
      <w:pPr>
        <w:numPr>
          <w:ilvl w:val="0"/>
          <w:numId w:val="1004"/>
        </w:numPr>
      </w:pPr>
      <w:r>
        <w:t xml:space="preserve">Pike, E.P., MacCarthy, J.M.C., Hameed, S.O., Harasta, N., Grorud‐Colvert, K., Sullivan‐Stack, J., Claudet, J., Costa, B.H. e, Gonçalves, E.J., Villagomez, A., et al. (2024). Ocean protection quality is lagging behind quantity: Applying a scientific framework to assess real marine protected area progress against the 30 by 30 target. Conserv. Lett. 17.</w:t>
      </w:r>
      <w:r>
        <w:t xml:space="preserve"> </w:t>
      </w:r>
      <w:hyperlink r:id="rId62">
        <w:r>
          <w:rPr>
            <w:rStyle w:val="Hyperlink"/>
          </w:rPr>
          <w:t xml:space="preserve">https://doi.org/10.1111/conl.13020</w:t>
        </w:r>
      </w:hyperlink>
      <w:r>
        <w:t xml:space="preserve">.</w:t>
      </w:r>
    </w:p>
    <w:p>
      <w:pPr>
        <w:numPr>
          <w:ilvl w:val="0"/>
          <w:numId w:val="1004"/>
        </w:numPr>
      </w:pPr>
      <w:r>
        <w:t xml:space="preserve">Grorud-Colvert, K., Sullivan-Stack, J., Roberts, C., Constant, V., Costa, B.H. e, Pike, E.P., Kingston, N., Laffoley, D., Sala, E., Claudet, J., et al. (2021). The MPA Guide: A framework to achieve global goals for the ocean. Science 373, eabf0861.</w:t>
      </w:r>
      <w:r>
        <w:t xml:space="preserve"> </w:t>
      </w:r>
      <w:hyperlink r:id="rId63">
        <w:r>
          <w:rPr>
            <w:rStyle w:val="Hyperlink"/>
          </w:rPr>
          <w:t xml:space="preserve">https://doi.org/10.1126/science.abf0861</w:t>
        </w:r>
      </w:hyperlink>
      <w:r>
        <w:t xml:space="preserve">.</w:t>
      </w:r>
    </w:p>
    <w:p>
      <w:pPr>
        <w:numPr>
          <w:ilvl w:val="0"/>
          <w:numId w:val="1004"/>
        </w:numPr>
      </w:pPr>
      <w:r>
        <w:t xml:space="preserve">Mouillot, D., Velez, L., Albouy, C., Casajus, N., Claudet, J., Delbar, V., Devillers, R., Letessier, T.B., Loiseau, N., Manel, S., et al. (2024). The socioeconomic and environmental niche of protected areas reveals global conservation gaps and opportunities. Nat. Commun. 15, 9007.</w:t>
      </w:r>
      <w:r>
        <w:t xml:space="preserve"> </w:t>
      </w:r>
      <w:hyperlink r:id="rId64">
        <w:r>
          <w:rPr>
            <w:rStyle w:val="Hyperlink"/>
          </w:rPr>
          <w:t xml:space="preserve">https://doi.org/10.1038/s41467-024-53241-1</w:t>
        </w:r>
      </w:hyperlink>
      <w:r>
        <w:t xml:space="preserve">.</w:t>
      </w:r>
    </w:p>
    <w:p>
      <w:pPr>
        <w:numPr>
          <w:ilvl w:val="0"/>
          <w:numId w:val="1004"/>
        </w:numPr>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2, 100345.</w:t>
      </w:r>
      <w:r>
        <w:t xml:space="preserve"> </w:t>
      </w:r>
      <w:hyperlink r:id="rId65">
        <w:r>
          <w:rPr>
            <w:rStyle w:val="Hyperlink"/>
          </w:rPr>
          <w:t xml:space="preserve">https://doi.org/10.1016/j.crsus.2025.100345</w:t>
        </w:r>
      </w:hyperlink>
      <w:r>
        <w:t xml:space="preserve">.</w:t>
      </w:r>
    </w:p>
    <w:p>
      <w:pPr>
        <w:numPr>
          <w:ilvl w:val="0"/>
          <w:numId w:val="1004"/>
        </w:numPr>
      </w:pPr>
      <w:r>
        <w:t xml:space="preserve">Rife, A.N., Erisman, B., Sanchez, A., and Aburto‐Oropeza, O. (2013). When good intentions are not enough … Insights on networks of</w:t>
      </w:r>
      <w:r>
        <w:t xml:space="preserve"> </w:t>
      </w:r>
      <w:r>
        <w:t xml:space="preserve">“</w:t>
      </w:r>
      <w:r>
        <w:t xml:space="preserve">paper park</w:t>
      </w:r>
      <w:r>
        <w:t xml:space="preserve">”</w:t>
      </w:r>
      <w:r>
        <w:t xml:space="preserve"> </w:t>
      </w:r>
      <w:r>
        <w:t xml:space="preserve">marine protected areas. Conserv. Lett. 6, 200–212.</w:t>
      </w:r>
      <w:r>
        <w:t xml:space="preserve"> </w:t>
      </w:r>
      <w:hyperlink r:id="rId66">
        <w:r>
          <w:rPr>
            <w:rStyle w:val="Hyperlink"/>
          </w:rPr>
          <w:t xml:space="preserve">https://doi.org/10.1111/j.1755-263x.2012.00303.x</w:t>
        </w:r>
      </w:hyperlink>
      <w:r>
        <w:t xml:space="preserve">.</w:t>
      </w:r>
    </w:p>
    <w:p>
      <w:pPr>
        <w:numPr>
          <w:ilvl w:val="0"/>
          <w:numId w:val="1004"/>
        </w:numPr>
      </w:pPr>
      <w:r>
        <w:t xml:space="preserve">Cisneros-Montemayor, A.M., Moreno-Báez, M., Reygondeau, G., Cheung, W.W.L., Crosman, K.M., González-Espinosa, P.C., Lam, V.W.Y., Oyinlola, M.A., Singh, G.G., Swartz, W., et al. (2021). Enabling conditions for an equitable and sustainable blue economy. Nature 591, 396–401.</w:t>
      </w:r>
      <w:r>
        <w:t xml:space="preserve"> </w:t>
      </w:r>
      <w:hyperlink r:id="rId67">
        <w:r>
          <w:rPr>
            <w:rStyle w:val="Hyperlink"/>
          </w:rPr>
          <w:t xml:space="preserve">https://doi.org/10.1038/s41586-021-03327-3</w:t>
        </w:r>
      </w:hyperlink>
      <w:r>
        <w:t xml:space="preserve">.</w:t>
      </w:r>
    </w:p>
    <w:p>
      <w:pPr>
        <w:numPr>
          <w:ilvl w:val="0"/>
          <w:numId w:val="1004"/>
        </w:numPr>
      </w:pPr>
      <w:r>
        <w:t xml:space="preserve">López‐Angarita, J., Moreno‐Sánchez, R., Maldonado, J.H., and Sánchez, J.A. (2014). Evaluating Linked Social–Ecological Systems in Marine Protected Areas. Conserv. Lett. 7, 241–252.</w:t>
      </w:r>
      <w:r>
        <w:t xml:space="preserve"> </w:t>
      </w:r>
      <w:hyperlink r:id="rId68">
        <w:r>
          <w:rPr>
            <w:rStyle w:val="Hyperlink"/>
          </w:rPr>
          <w:t xml:space="preserve">https://doi.org/10.1111/conl.12063</w:t>
        </w:r>
      </w:hyperlink>
      <w:r>
        <w:t xml:space="preserve">.</w:t>
      </w:r>
    </w:p>
    <w:p>
      <w:pPr>
        <w:numPr>
          <w:ilvl w:val="0"/>
          <w:numId w:val="1004"/>
        </w:numPr>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w:t>
      </w:r>
      <w:r>
        <w:t xml:space="preserve"> </w:t>
      </w:r>
      <w:hyperlink r:id="rId69">
        <w:r>
          <w:rPr>
            <w:rStyle w:val="Hyperlink"/>
          </w:rPr>
          <w:t xml:space="preserve">https://doi.org/10.3389/fmars.2024.1491483</w:t>
        </w:r>
      </w:hyperlink>
      <w:r>
        <w:t xml:space="preserve">.</w:t>
      </w:r>
    </w:p>
    <w:p>
      <w:pPr>
        <w:numPr>
          <w:ilvl w:val="0"/>
          <w:numId w:val="1004"/>
        </w:numPr>
      </w:pPr>
      <w:r>
        <w:t xml:space="preserve">Gurney, G.G., Adams, V.M., Álvarez-Romero, J.G., and Claudet, J. (2023). Area-based conservation: Taking stock and looking ahead. One Earth 6, 98–104.</w:t>
      </w:r>
      <w:r>
        <w:t xml:space="preserve"> </w:t>
      </w:r>
      <w:hyperlink r:id="rId70">
        <w:r>
          <w:rPr>
            <w:rStyle w:val="Hyperlink"/>
          </w:rPr>
          <w:t xml:space="preserve">https://doi.org/10.1016/j.oneear.2023.01.012</w:t>
        </w:r>
      </w:hyperlink>
      <w:r>
        <w:t xml:space="preserve">.</w:t>
      </w:r>
    </w:p>
    <w:p>
      <w:pPr>
        <w:numPr>
          <w:ilvl w:val="0"/>
          <w:numId w:val="1004"/>
        </w:numPr>
      </w:pPr>
      <w:r>
        <w:t xml:space="preserve">Lester, S., and Halpern, B. (2008). Biological responses in marine no-take reserves versus partially protected areas. Mar. Ecol. Prog. Ser. 367, 49–56.</w:t>
      </w:r>
      <w:r>
        <w:t xml:space="preserve"> </w:t>
      </w:r>
      <w:hyperlink r:id="rId71">
        <w:r>
          <w:rPr>
            <w:rStyle w:val="Hyperlink"/>
          </w:rPr>
          <w:t xml:space="preserve">https://doi.org/10.3354/meps07599</w:t>
        </w:r>
      </w:hyperlink>
      <w:r>
        <w:t xml:space="preserve">.</w:t>
      </w:r>
    </w:p>
    <w:p>
      <w:pPr>
        <w:numPr>
          <w:ilvl w:val="0"/>
          <w:numId w:val="1004"/>
        </w:numPr>
      </w:pPr>
      <w:r>
        <w:t xml:space="preserve">Costello, M.J. (2014). Long live Marine Reserves: A review of experiences and benefits. Biol. Conserv. 176, 289–296.</w:t>
      </w:r>
      <w:r>
        <w:t xml:space="preserve"> </w:t>
      </w:r>
      <w:hyperlink r:id="rId72">
        <w:r>
          <w:rPr>
            <w:rStyle w:val="Hyperlink"/>
          </w:rPr>
          <w:t xml:space="preserve">https://doi.org/10.1016/j.biocon.2014.04.023</w:t>
        </w:r>
      </w:hyperlink>
      <w:r>
        <w:t xml:space="preserve">.</w:t>
      </w:r>
    </w:p>
    <w:p>
      <w:pPr>
        <w:numPr>
          <w:ilvl w:val="0"/>
          <w:numId w:val="1004"/>
        </w:numPr>
      </w:pPr>
      <w:r>
        <w:t xml:space="preserve">Sala, E., Giakoumi, S., and Pendleton, H. editor: L. (2017). No-take marine reserves are the most effective protected areas in the ocean. ICES J. Mar. Sci. 75, 1166–1168.</w:t>
      </w:r>
      <w:r>
        <w:t xml:space="preserve"> </w:t>
      </w:r>
      <w:hyperlink r:id="rId73">
        <w:r>
          <w:rPr>
            <w:rStyle w:val="Hyperlink"/>
          </w:rPr>
          <w:t xml:space="preserve">https://doi.org/10.1093/icesjms/fsx059</w:t>
        </w:r>
      </w:hyperlink>
      <w:r>
        <w:t xml:space="preserve">.</w:t>
      </w:r>
    </w:p>
    <w:p>
      <w:pPr>
        <w:numPr>
          <w:ilvl w:val="0"/>
          <w:numId w:val="1004"/>
        </w:numPr>
      </w:pPr>
      <w:r>
        <w:t xml:space="preserve">Khng, N.Y.-E. (2024). The Agreement Under the U.N. Convention on the Law of the Sea on the Conservation &amp; Sustainable Use of Marine Biological Diversity of Areas Beyond National Jurisdiction. Int. Leg. Mater. 63, 1–46.</w:t>
      </w:r>
      <w:r>
        <w:t xml:space="preserve"> </w:t>
      </w:r>
      <w:hyperlink r:id="rId74">
        <w:r>
          <w:rPr>
            <w:rStyle w:val="Hyperlink"/>
          </w:rPr>
          <w:t xml:space="preserve">https://doi.org/10.1017/ilm.2023.38</w:t>
        </w:r>
      </w:hyperlink>
      <w:r>
        <w:t xml:space="preserve">.</w:t>
      </w:r>
    </w:p>
    <w:p>
      <w:pPr>
        <w:numPr>
          <w:ilvl w:val="0"/>
          <w:numId w:val="1004"/>
        </w:numPr>
      </w:pPr>
      <w:r>
        <w:t xml:space="preserve">Haward, M. (2021). Biodiversity in Areas Beyond National Jurisdiction (BBNJ): the Commission for the Conservation of Antarctic Marine Living Resources (CCAMLR) and the United Nations BBNJ agreement. Polar J. 11, 303–316.</w:t>
      </w:r>
      <w:r>
        <w:t xml:space="preserve"> </w:t>
      </w:r>
      <w:hyperlink r:id="rId75">
        <w:r>
          <w:rPr>
            <w:rStyle w:val="Hyperlink"/>
          </w:rPr>
          <w:t xml:space="preserve">https://doi.org/10.1080/2154896x.2021.1984658</w:t>
        </w:r>
      </w:hyperlink>
      <w:r>
        <w:t xml:space="preserve">.</w:t>
      </w:r>
    </w:p>
    <w:p>
      <w:pPr>
        <w:numPr>
          <w:ilvl w:val="0"/>
          <w:numId w:val="1004"/>
        </w:numPr>
      </w:pPr>
      <w:r>
        <w:t xml:space="preserve">Kumagai, J.A., Favoretto, F., Pruckner, S., Rogers, A.D., Weatherdon, L.V., Aburto-Oropeza, O., and Niamir, A. (2022). Habitat Protection Indexes - new monitoring measures for the conservation of coastal and marine habitats. Sci. Data 9, 203.</w:t>
      </w:r>
      <w:r>
        <w:t xml:space="preserve"> </w:t>
      </w:r>
      <w:hyperlink r:id="rId76">
        <w:r>
          <w:rPr>
            <w:rStyle w:val="Hyperlink"/>
          </w:rPr>
          <w:t xml:space="preserve">https://doi.org/10.1038/s41597-022-01296-4</w:t>
        </w:r>
      </w:hyperlink>
      <w:r>
        <w:t xml:space="preserve">.</w:t>
      </w:r>
    </w:p>
    <w:p>
      <w:pPr>
        <w:numPr>
          <w:ilvl w:val="0"/>
          <w:numId w:val="1004"/>
        </w:numPr>
      </w:pPr>
      <w:r>
        <w:t xml:space="preserve">UNEP-WCMC (2023). Ocean Data Viewer – global habitat layers (Global Mangrove Watch v3, Global Seagrasses v7.1, Global Saltmarshes, Global Coral Reefs, Global Cold-water Corals).</w:t>
      </w:r>
    </w:p>
    <w:p>
      <w:pPr>
        <w:numPr>
          <w:ilvl w:val="0"/>
          <w:numId w:val="1004"/>
        </w:numPr>
      </w:pPr>
      <w:r>
        <w:t xml:space="preserve">Wilkinson, S.R. (2025). FAIR Workflows and Methods for Scaling.</w:t>
      </w:r>
      <w:r>
        <w:t xml:space="preserve"> </w:t>
      </w:r>
      <w:hyperlink r:id="rId77">
        <w:r>
          <w:rPr>
            <w:rStyle w:val="Hyperlink"/>
          </w:rPr>
          <w:t xml:space="preserve">https://doi.org/10.5194/egusphere-egu24-19486</w:t>
        </w:r>
      </w:hyperlink>
      <w:r>
        <w:t xml:space="preserve">.</w:t>
      </w:r>
    </w:p>
    <w:p>
      <w:pPr>
        <w:numPr>
          <w:ilvl w:val="0"/>
          <w:numId w:val="1004"/>
        </w:numPr>
      </w:pPr>
      <w:r>
        <w:t xml:space="preserve">Zetterlind, V., Sletten, J., Colegrove, C., Driedger, A., King, S.C., Raudsepp, N., Favoretto, F., and Vincent, T. (2025). Navigator - a global database of verified marine protected and managed area regulations and boundaries. Sci. Data 12, 1212.</w:t>
      </w:r>
      <w:r>
        <w:t xml:space="preserve"> </w:t>
      </w:r>
      <w:hyperlink r:id="rId78">
        <w:r>
          <w:rPr>
            <w:rStyle w:val="Hyperlink"/>
          </w:rPr>
          <w:t xml:space="preserve">https://doi.org/10.1038/s41597-025-05535-2</w:t>
        </w:r>
      </w:hyperlink>
      <w:r>
        <w:t xml:space="preserve">.</w:t>
      </w:r>
    </w:p>
    <w:p>
      <w:pPr>
        <w:numPr>
          <w:ilvl w:val="0"/>
          <w:numId w:val="1004"/>
        </w:numPr>
      </w:pPr>
      <w:r>
        <w:t xml:space="preserve">Cheung, W.W.L., Palacios-Abrantes, J., and Roberts, S.M. (2024). Projecting contributions of marine protected areas to rebuild fish stocks under climate change. npj Ocean Sustain. 3, 11.</w:t>
      </w:r>
      <w:r>
        <w:t xml:space="preserve"> </w:t>
      </w:r>
      <w:hyperlink r:id="rId79">
        <w:r>
          <w:rPr>
            <w:rStyle w:val="Hyperlink"/>
          </w:rPr>
          <w:t xml:space="preserve">https://doi.org/10.1038/s44183-024-00046-w</w:t>
        </w:r>
      </w:hyperlink>
      <w:r>
        <w:t xml:space="preserve">.</w:t>
      </w:r>
    </w:p>
    <w:p>
      <w:pPr>
        <w:numPr>
          <w:ilvl w:val="0"/>
          <w:numId w:val="1004"/>
        </w:numPr>
      </w:pPr>
      <w:r>
        <w:t xml:space="preserve">Edgar, G.J., Stuart-Smith, R.D., Willis, T.J., Kininmonth, S., Baker, S.C., Banks, S., Barrett, N.S., Becerro, M.A., Bernard, A.T.F., Berkhout, J., et al. (2014). Global conservation outcomes depend on marine protected areas with five key features. Nature 506, 216–220.</w:t>
      </w:r>
      <w:r>
        <w:t xml:space="preserve"> </w:t>
      </w:r>
      <w:hyperlink r:id="rId80">
        <w:r>
          <w:rPr>
            <w:rStyle w:val="Hyperlink"/>
          </w:rPr>
          <w:t xml:space="preserve">https://doi.org/10.1038/nature13022</w:t>
        </w:r>
      </w:hyperlink>
      <w:r>
        <w:t xml:space="preserve">.</w:t>
      </w:r>
    </w:p>
    <w:p>
      <w:pPr>
        <w:numPr>
          <w:ilvl w:val="0"/>
          <w:numId w:val="1004"/>
        </w:numPr>
      </w:pPr>
      <w:r>
        <w:t xml:space="preserve">Anderson, R.B. (2019). Beyond</w:t>
      </w:r>
      <w:r>
        <w:t xml:space="preserve"> </w:t>
      </w:r>
      <w:r>
        <w:t xml:space="preserve">“</w:t>
      </w:r>
      <w:r>
        <w:t xml:space="preserve">Success</w:t>
      </w:r>
      <w:r>
        <w:t xml:space="preserve">”</w:t>
      </w:r>
      <w:r>
        <w:t xml:space="preserve">: Community, Governance, and the Future of Cabo Pulmo National Park. Hum. Organ. 78, 147–157.</w:t>
      </w:r>
      <w:r>
        <w:t xml:space="preserve"> </w:t>
      </w:r>
      <w:hyperlink r:id="rId81">
        <w:r>
          <w:rPr>
            <w:rStyle w:val="Hyperlink"/>
          </w:rPr>
          <w:t xml:space="preserve">https://doi.org/10.17730/0018-7259.78.2.147</w:t>
        </w:r>
      </w:hyperlink>
      <w:r>
        <w:t xml:space="preserve">.</w:t>
      </w:r>
    </w:p>
    <w:p>
      <w:pPr>
        <w:numPr>
          <w:ilvl w:val="0"/>
          <w:numId w:val="1004"/>
        </w:numPr>
      </w:pPr>
      <w:r>
        <w:t xml:space="preserve">Bohorquez, J.J., Dvarskas, A., Jacquet, J., Sumaila, U.R., Nye, J.A., and Pikitch, E.K. (2023). A novel framework to evaluate the financial sustainability of marine protected areas. Biol. Conserv. 283, 110083.</w:t>
      </w:r>
      <w:r>
        <w:t xml:space="preserve"> </w:t>
      </w:r>
      <w:hyperlink r:id="rId82">
        <w:r>
          <w:rPr>
            <w:rStyle w:val="Hyperlink"/>
          </w:rPr>
          <w:t xml:space="preserve">https://doi.org/10.1016/j.biocon.2023.110083</w:t>
        </w:r>
      </w:hyperlink>
      <w:r>
        <w:t xml:space="preserve">.</w:t>
      </w:r>
    </w:p>
    <w:p>
      <w:pPr>
        <w:numPr>
          <w:ilvl w:val="0"/>
          <w:numId w:val="1004"/>
        </w:numPr>
      </w:pPr>
      <w:r>
        <w:t xml:space="preserve">Rechberger, K., Mayorga, J., Booth, M., and Sala, E. (2024). A pathway to protect 30% of coastal waters by 2030.</w:t>
      </w:r>
      <w:r>
        <w:t xml:space="preserve"> </w:t>
      </w:r>
      <w:hyperlink r:id="rId83">
        <w:r>
          <w:rPr>
            <w:rStyle w:val="Hyperlink"/>
          </w:rPr>
          <w:t xml:space="preserve">https://doi.org/10.21203/rs.3.rs-5227045/v1</w:t>
        </w:r>
      </w:hyperlink>
      <w:r>
        <w:t xml:space="preserve">.</w:t>
      </w:r>
    </w:p>
    <w:p>
      <w:pPr>
        <w:numPr>
          <w:ilvl w:val="0"/>
          <w:numId w:val="1004"/>
        </w:numPr>
      </w:pPr>
      <w:r>
        <w:t xml:space="preserve">Favoretto, F., López-Sagástegui, C., Sala, E., and Aburto-Oropeza, O. (2023). The largest fully protected marine area in North America does not harm industrial fishing. Sci. Adv. 9, eadg0709.</w:t>
      </w:r>
      <w:r>
        <w:t xml:space="preserve"> </w:t>
      </w:r>
      <w:hyperlink r:id="rId84">
        <w:r>
          <w:rPr>
            <w:rStyle w:val="Hyperlink"/>
          </w:rPr>
          <w:t xml:space="preserve">https://doi.org/10.1126/sciadv.adg0709</w:t>
        </w:r>
      </w:hyperlink>
      <w:r>
        <w:t xml:space="preserve">.</w:t>
      </w:r>
    </w:p>
    <w:p>
      <w:pPr>
        <w:numPr>
          <w:ilvl w:val="0"/>
          <w:numId w:val="1004"/>
        </w:numPr>
      </w:pPr>
      <w:r>
        <w:t xml:space="preserve">Rowlands, G., Brown, J., Soule, B., Boluda, P.T., and Rogers, A.D. (2019). Satellite surveillance of fishing vessel activity in the Ascension Island Exclusive Economic Zone and Marine Protected Area. Mar. Polic. 101, 39–50.</w:t>
      </w:r>
      <w:r>
        <w:t xml:space="preserve"> </w:t>
      </w:r>
      <w:hyperlink r:id="rId85">
        <w:r>
          <w:rPr>
            <w:rStyle w:val="Hyperlink"/>
          </w:rPr>
          <w:t xml:space="preserve">https://doi.org/10.1016/j.marpol.2018.11.006</w:t>
        </w:r>
      </w:hyperlink>
      <w:r>
        <w:t xml:space="preserve">.</w:t>
      </w:r>
    </w:p>
    <w:p>
      <w:pPr>
        <w:numPr>
          <w:ilvl w:val="0"/>
          <w:numId w:val="1004"/>
        </w:numPr>
      </w:pPr>
      <w:r>
        <w:t xml:space="preserve">Cope, S., Tougher, B., Morten, J., Pukini, C., and Zetterlind, V. (2022). Coastal radar as a tool for continuous and fine-scale monitoring of vessel activities of interest in the vicinity of marine protected areas. PLoS ONE 17, e0269490.</w:t>
      </w:r>
      <w:r>
        <w:t xml:space="preserve"> </w:t>
      </w:r>
      <w:hyperlink r:id="rId86">
        <w:r>
          <w:rPr>
            <w:rStyle w:val="Hyperlink"/>
          </w:rPr>
          <w:t xml:space="preserve">https://doi.org/10.1371/journal.pone.0269490</w:t>
        </w:r>
      </w:hyperlink>
      <w:r>
        <w:t xml:space="preserve">.</w:t>
      </w:r>
    </w:p>
    <w:p>
      <w:pPr>
        <w:numPr>
          <w:ilvl w:val="0"/>
          <w:numId w:val="1004"/>
        </w:numPr>
      </w:pPr>
      <w:r>
        <w:t xml:space="preserve">Delfour-Samama, O., and Leboeuf, C. (2014). Review of potential legal frameworks for effective implementation and enforcement of MPAs in the high seas. ICES J. Mar. Sci. 71, 1031–1039.</w:t>
      </w:r>
      <w:r>
        <w:t xml:space="preserve"> </w:t>
      </w:r>
      <w:hyperlink r:id="rId87">
        <w:r>
          <w:rPr>
            <w:rStyle w:val="Hyperlink"/>
          </w:rPr>
          <w:t xml:space="preserve">https://doi.org/10.1093/icesjms/fsu024</w:t>
        </w:r>
      </w:hyperlink>
      <w:r>
        <w:t xml:space="preserve">.</w:t>
      </w:r>
    </w:p>
    <w:p>
      <w:pPr>
        <w:numPr>
          <w:ilvl w:val="0"/>
          <w:numId w:val="1004"/>
        </w:numPr>
      </w:pPr>
      <w:r>
        <w:t xml:space="preserve">Bohorquez, J.J., Dvarskas, A., Jacquet, J., Sumaila, U.R., Nye, J., and Pikitch, E.K. (2022). A New Tool to Evaluate, Improve, and Sustain Marine Protected Area Financing Built on a Comprehensive Review of Finance Sources and Instruments. Front. Mar. Sci. 8, 742846.</w:t>
      </w:r>
      <w:r>
        <w:t xml:space="preserve"> </w:t>
      </w:r>
      <w:hyperlink r:id="rId88">
        <w:r>
          <w:rPr>
            <w:rStyle w:val="Hyperlink"/>
          </w:rPr>
          <w:t xml:space="preserve">https://doi.org/10.3389/fmars.2021.742846</w:t>
        </w:r>
      </w:hyperlink>
      <w:r>
        <w:t xml:space="preserve">.</w:t>
      </w:r>
    </w:p>
    <w:p>
      <w:pPr>
        <w:numPr>
          <w:ilvl w:val="0"/>
          <w:numId w:val="1004"/>
        </w:numPr>
      </w:pPr>
      <w:r>
        <w:t xml:space="preserve">Chen, J.-L., Chen, J.-Y., Chuang, C.-T., Lu, H.-J., Liu, H.-H., and Lin, Y.-S. (2014). Developing a co-management financing mechanism to enhance the financial sustainability of marine protected areas in Taiwan. Mar. Polic. 48, 126–133.</w:t>
      </w:r>
      <w:r>
        <w:t xml:space="preserve"> </w:t>
      </w:r>
      <w:hyperlink r:id="rId89">
        <w:r>
          <w:rPr>
            <w:rStyle w:val="Hyperlink"/>
          </w:rPr>
          <w:t xml:space="preserve">https://doi.org/10.1016/j.marpol.2014.03.022</w:t>
        </w:r>
      </w:hyperlink>
      <w:r>
        <w:t xml:space="preserve">.</w:t>
      </w:r>
    </w:p>
    <w:p>
      <w:pPr>
        <w:numPr>
          <w:ilvl w:val="0"/>
          <w:numId w:val="1004"/>
        </w:numPr>
      </w:pPr>
      <w:r>
        <w:t xml:space="preserve">Twichell, J., Pollnac, R., and Christie, P. (2018). Lessons from Philippines MPA Management: Social Ecological Interactions, Participation, and MPA Performance. Environ. Manag. 61, 916–927.</w:t>
      </w:r>
      <w:r>
        <w:t xml:space="preserve"> </w:t>
      </w:r>
      <w:hyperlink r:id="rId90">
        <w:r>
          <w:rPr>
            <w:rStyle w:val="Hyperlink"/>
          </w:rPr>
          <w:t xml:space="preserve">https://doi.org/10.1007/s00267-018-1020-y</w:t>
        </w:r>
      </w:hyperlink>
      <w:r>
        <w:t xml:space="preserve">.</w:t>
      </w:r>
    </w:p>
    <w:p>
      <w:pPr>
        <w:numPr>
          <w:ilvl w:val="0"/>
          <w:numId w:val="1004"/>
        </w:numPr>
      </w:pPr>
      <w:r>
        <w:t xml:space="preserve">Nation, U. (2025). Our ocean, our future: united for urgent action. Outcome document of the 2025 UN Ocean Conference, Nice, France.</w:t>
      </w:r>
    </w:p>
    <w:p>
      <w:pPr>
        <w:numPr>
          <w:ilvl w:val="0"/>
          <w:numId w:val="1004"/>
        </w:numPr>
      </w:pPr>
      <w:r>
        <w:t xml:space="preserve">Driedger, A., Sletten, J., Colegrove, C., Vincent, T., Zetterlind, V., Claudet, J., and Costa, B.H. e (2023). Guidance on marine protected area protection level assignments when faced with unknown regulatory information. Mar. Polic. 148, 105441.</w:t>
      </w:r>
      <w:r>
        <w:t xml:space="preserve"> </w:t>
      </w:r>
      <w:hyperlink r:id="rId91">
        <w:r>
          <w:rPr>
            <w:rStyle w:val="Hyperlink"/>
          </w:rPr>
          <w:t xml:space="preserve">https://doi.org/10.1016/j.marpol.2022.105441</w:t>
        </w:r>
      </w:hyperlink>
      <w:r>
        <w:t xml:space="preserve">.</w:t>
      </w:r>
    </w:p>
    <w:sectPr w:rsidR="00922B1B" w:rsidRPr="00885F00" w:rsidSect="00444AE4">
      <w:headerReference w:type="default" r:id="rId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0"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2" Target="https://doi.org/10.1016/j.biocon.2014.04.023" TargetMode="External" /><Relationship Type="http://schemas.openxmlformats.org/officeDocument/2006/relationships/hyperlink" Id="rId82" Target="https://doi.org/10.1016/j.biocon.2023.110083" TargetMode="External" /><Relationship Type="http://schemas.openxmlformats.org/officeDocument/2006/relationships/hyperlink" Id="rId65" Target="https://doi.org/10.1016/j.crsus.2025.100345" TargetMode="External" /><Relationship Type="http://schemas.openxmlformats.org/officeDocument/2006/relationships/hyperlink" Id="rId89" Target="https://doi.org/10.1016/j.marpol.2014.03.022" TargetMode="External" /><Relationship Type="http://schemas.openxmlformats.org/officeDocument/2006/relationships/hyperlink" Id="rId85" Target="https://doi.org/10.1016/j.marpol.2018.11.006" TargetMode="External" /><Relationship Type="http://schemas.openxmlformats.org/officeDocument/2006/relationships/hyperlink" Id="rId91" Target="https://doi.org/10.1016/j.marpol.2022.105441" TargetMode="External" /><Relationship Type="http://schemas.openxmlformats.org/officeDocument/2006/relationships/hyperlink" Id="rId70" Target="https://doi.org/10.1016/j.oneear.2023.01.012" TargetMode="External" /><Relationship Type="http://schemas.openxmlformats.org/officeDocument/2006/relationships/hyperlink" Id="rId74" Target="https://doi.org/10.1017/ilm.2023.38" TargetMode="External" /><Relationship Type="http://schemas.openxmlformats.org/officeDocument/2006/relationships/hyperlink" Id="rId60" Target="https://doi.org/10.1038/461472a" TargetMode="External" /><Relationship Type="http://schemas.openxmlformats.org/officeDocument/2006/relationships/hyperlink" Id="rId80" Target="https://doi.org/10.1038/nature13022" TargetMode="External" /><Relationship Type="http://schemas.openxmlformats.org/officeDocument/2006/relationships/hyperlink" Id="rId64" Target="https://doi.org/10.1038/s41467-024-53241-1" TargetMode="External" /><Relationship Type="http://schemas.openxmlformats.org/officeDocument/2006/relationships/hyperlink" Id="rId67"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6" Target="https://doi.org/10.1038/s41597-022-01296-4" TargetMode="External" /><Relationship Type="http://schemas.openxmlformats.org/officeDocument/2006/relationships/hyperlink" Id="rId78" Target="https://doi.org/10.1038/s41597-025-05535-2" TargetMode="External" /><Relationship Type="http://schemas.openxmlformats.org/officeDocument/2006/relationships/hyperlink" Id="rId79" Target="https://doi.org/10.1038/s44183-024-00046-w" TargetMode="External" /><Relationship Type="http://schemas.openxmlformats.org/officeDocument/2006/relationships/hyperlink" Id="rId75" Target="https://doi.org/10.1080/2154896x.2021.1984658" TargetMode="External" /><Relationship Type="http://schemas.openxmlformats.org/officeDocument/2006/relationships/hyperlink" Id="rId87" Target="https://doi.org/10.1093/icesjms/fsu024" TargetMode="External" /><Relationship Type="http://schemas.openxmlformats.org/officeDocument/2006/relationships/hyperlink" Id="rId73" Target="https://doi.org/10.1093/icesjms/fsx059" TargetMode="External" /><Relationship Type="http://schemas.openxmlformats.org/officeDocument/2006/relationships/hyperlink" Id="rId68" Target="https://doi.org/10.1111/conl.12063" TargetMode="External" /><Relationship Type="http://schemas.openxmlformats.org/officeDocument/2006/relationships/hyperlink" Id="rId62" Target="https://doi.org/10.1111/conl.13020" TargetMode="External" /><Relationship Type="http://schemas.openxmlformats.org/officeDocument/2006/relationships/hyperlink" Id="rId66"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4" Target="https://doi.org/10.1126/sciadv.adg0709" TargetMode="External" /><Relationship Type="http://schemas.openxmlformats.org/officeDocument/2006/relationships/hyperlink" Id="rId63" Target="https://doi.org/10.1126/science.abf0861" TargetMode="External" /><Relationship Type="http://schemas.openxmlformats.org/officeDocument/2006/relationships/hyperlink" Id="rId86" Target="https://doi.org/10.1371/journal.pone.0269490" TargetMode="External" /><Relationship Type="http://schemas.openxmlformats.org/officeDocument/2006/relationships/hyperlink" Id="rId81" Target="https://doi.org/10.17730/0018-7259.78.2.147" TargetMode="External" /><Relationship Type="http://schemas.openxmlformats.org/officeDocument/2006/relationships/hyperlink" Id="rId83" Target="https://doi.org/10.21203/rs.3.rs-5227045/v1" TargetMode="External" /><Relationship Type="http://schemas.openxmlformats.org/officeDocument/2006/relationships/hyperlink" Id="rId71" Target="https://doi.org/10.3354/meps07599" TargetMode="External" /><Relationship Type="http://schemas.openxmlformats.org/officeDocument/2006/relationships/hyperlink" Id="rId88" Target="https://doi.org/10.3389/fmars.2021.742846" TargetMode="External" /><Relationship Type="http://schemas.openxmlformats.org/officeDocument/2006/relationships/hyperlink" Id="rId69"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77" Target="https://doi.org/10.5194/egusphere-egu24-19486" TargetMode="External" /><Relationship Type="http://schemas.openxmlformats.org/officeDocument/2006/relationships/hyperlink" Id="rId39" Target="https://github.com/Fabbiologia/mpa_momentum"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0"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2" Target="https://doi.org/10.1016/j.biocon.2014.04.023" TargetMode="External" /><Relationship Type="http://schemas.openxmlformats.org/officeDocument/2006/relationships/hyperlink" Id="rId82" Target="https://doi.org/10.1016/j.biocon.2023.110083" TargetMode="External" /><Relationship Type="http://schemas.openxmlformats.org/officeDocument/2006/relationships/hyperlink" Id="rId65" Target="https://doi.org/10.1016/j.crsus.2025.100345" TargetMode="External" /><Relationship Type="http://schemas.openxmlformats.org/officeDocument/2006/relationships/hyperlink" Id="rId89" Target="https://doi.org/10.1016/j.marpol.2014.03.022" TargetMode="External" /><Relationship Type="http://schemas.openxmlformats.org/officeDocument/2006/relationships/hyperlink" Id="rId85" Target="https://doi.org/10.1016/j.marpol.2018.11.006" TargetMode="External" /><Relationship Type="http://schemas.openxmlformats.org/officeDocument/2006/relationships/hyperlink" Id="rId91" Target="https://doi.org/10.1016/j.marpol.2022.105441" TargetMode="External" /><Relationship Type="http://schemas.openxmlformats.org/officeDocument/2006/relationships/hyperlink" Id="rId70" Target="https://doi.org/10.1016/j.oneear.2023.01.012" TargetMode="External" /><Relationship Type="http://schemas.openxmlformats.org/officeDocument/2006/relationships/hyperlink" Id="rId74" Target="https://doi.org/10.1017/ilm.2023.38" TargetMode="External" /><Relationship Type="http://schemas.openxmlformats.org/officeDocument/2006/relationships/hyperlink" Id="rId60" Target="https://doi.org/10.1038/461472a" TargetMode="External" /><Relationship Type="http://schemas.openxmlformats.org/officeDocument/2006/relationships/hyperlink" Id="rId80" Target="https://doi.org/10.1038/nature13022" TargetMode="External" /><Relationship Type="http://schemas.openxmlformats.org/officeDocument/2006/relationships/hyperlink" Id="rId64" Target="https://doi.org/10.1038/s41467-024-53241-1" TargetMode="External" /><Relationship Type="http://schemas.openxmlformats.org/officeDocument/2006/relationships/hyperlink" Id="rId67"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6" Target="https://doi.org/10.1038/s41597-022-01296-4" TargetMode="External" /><Relationship Type="http://schemas.openxmlformats.org/officeDocument/2006/relationships/hyperlink" Id="rId78" Target="https://doi.org/10.1038/s41597-025-05535-2" TargetMode="External" /><Relationship Type="http://schemas.openxmlformats.org/officeDocument/2006/relationships/hyperlink" Id="rId79" Target="https://doi.org/10.1038/s44183-024-00046-w" TargetMode="External" /><Relationship Type="http://schemas.openxmlformats.org/officeDocument/2006/relationships/hyperlink" Id="rId75" Target="https://doi.org/10.1080/2154896x.2021.1984658" TargetMode="External" /><Relationship Type="http://schemas.openxmlformats.org/officeDocument/2006/relationships/hyperlink" Id="rId87" Target="https://doi.org/10.1093/icesjms/fsu024" TargetMode="External" /><Relationship Type="http://schemas.openxmlformats.org/officeDocument/2006/relationships/hyperlink" Id="rId73" Target="https://doi.org/10.1093/icesjms/fsx059" TargetMode="External" /><Relationship Type="http://schemas.openxmlformats.org/officeDocument/2006/relationships/hyperlink" Id="rId68" Target="https://doi.org/10.1111/conl.12063" TargetMode="External" /><Relationship Type="http://schemas.openxmlformats.org/officeDocument/2006/relationships/hyperlink" Id="rId62" Target="https://doi.org/10.1111/conl.13020" TargetMode="External" /><Relationship Type="http://schemas.openxmlformats.org/officeDocument/2006/relationships/hyperlink" Id="rId66"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4" Target="https://doi.org/10.1126/sciadv.adg0709" TargetMode="External" /><Relationship Type="http://schemas.openxmlformats.org/officeDocument/2006/relationships/hyperlink" Id="rId63" Target="https://doi.org/10.1126/science.abf0861" TargetMode="External" /><Relationship Type="http://schemas.openxmlformats.org/officeDocument/2006/relationships/hyperlink" Id="rId86" Target="https://doi.org/10.1371/journal.pone.0269490" TargetMode="External" /><Relationship Type="http://schemas.openxmlformats.org/officeDocument/2006/relationships/hyperlink" Id="rId81" Target="https://doi.org/10.17730/0018-7259.78.2.147" TargetMode="External" /><Relationship Type="http://schemas.openxmlformats.org/officeDocument/2006/relationships/hyperlink" Id="rId83" Target="https://doi.org/10.21203/rs.3.rs-5227045/v1" TargetMode="External" /><Relationship Type="http://schemas.openxmlformats.org/officeDocument/2006/relationships/hyperlink" Id="rId71" Target="https://doi.org/10.3354/meps07599" TargetMode="External" /><Relationship Type="http://schemas.openxmlformats.org/officeDocument/2006/relationships/hyperlink" Id="rId88" Target="https://doi.org/10.3389/fmars.2021.742846" TargetMode="External" /><Relationship Type="http://schemas.openxmlformats.org/officeDocument/2006/relationships/hyperlink" Id="rId69"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77" Target="https://doi.org/10.5194/egusphere-egu24-19486" TargetMode="External" /><Relationship Type="http://schemas.openxmlformats.org/officeDocument/2006/relationships/hyperlink" Id="rId39" Target="https://github.com/Fabbiologia/mpa_momentum"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2025-10-17T20:38:22Z</dcterms:created>
  <dcterms:modified xsi:type="dcterms:W3CDTF">2025-10-17T20:38:22Z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